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jc w:val="center"/>
              <w:rPr>
                <w:sz w:val="28"/>
                <w:szCs w:val="28"/>
              </w:rPr>
            </w:pPr>
            <w:r w:rsidDel="00000000" w:rsidR="00000000" w:rsidRPr="00000000">
              <w:rPr/>
              <w:drawing>
                <wp:inline distB="0" distT="0" distL="0" distR="0">
                  <wp:extent cx="1422400" cy="927100"/>
                  <wp:effectExtent b="0" l="0" r="0" t="0"/>
                  <wp:docPr descr="MASCAlogo-09A" id="1" name="image2.jpg"/>
                  <a:graphic>
                    <a:graphicData uri="http://schemas.openxmlformats.org/drawingml/2006/picture">
                      <pic:pic>
                        <pic:nvPicPr>
                          <pic:cNvPr descr="MASCAlogo-09A" id="0" name="image2.jpg"/>
                          <pic:cNvPicPr preferRelativeResize="0"/>
                        </pic:nvPicPr>
                        <pic:blipFill>
                          <a:blip r:embed="rId6"/>
                          <a:srcRect b="0" l="0" r="0" t="0"/>
                          <a:stretch>
                            <a:fillRect/>
                          </a:stretch>
                        </pic:blipFill>
                        <pic:spPr>
                          <a:xfrm>
                            <a:off x="0" y="0"/>
                            <a:ext cx="1422400" cy="927100"/>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jc w:val="cente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jc w:val="center"/>
              <w:rPr>
                <w:rFonts w:ascii="Corsiva" w:cs="Corsiva" w:eastAsia="Corsiva" w:hAnsi="Corsiva"/>
                <w:b w:val="1"/>
                <w:i w:val="1"/>
                <w:color w:val="ffffff"/>
                <w:sz w:val="44"/>
                <w:szCs w:val="44"/>
              </w:rPr>
            </w:pPr>
            <w:r w:rsidDel="00000000" w:rsidR="00000000" w:rsidRPr="00000000">
              <w:rPr>
                <w:rFonts w:ascii="Corsiva" w:cs="Corsiva" w:eastAsia="Corsiva" w:hAnsi="Corsiva"/>
                <w:b w:val="1"/>
                <w:i w:val="1"/>
                <w:color w:val="ffffff"/>
                <w:sz w:val="44"/>
                <w:szCs w:val="44"/>
                <w:rtl w:val="0"/>
              </w:rPr>
              <w:t xml:space="preserve">M.A.R.C. Jr.</w:t>
            </w:r>
          </w:p>
          <w:p w:rsidR="00000000" w:rsidDel="00000000" w:rsidP="00000000" w:rsidRDefault="00000000" w:rsidRPr="00000000" w14:paraId="00000007">
            <w:pPr>
              <w:jc w:val="cente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2011 - 2012</w:t>
            </w:r>
            <w:r w:rsidDel="00000000" w:rsidR="00000000" w:rsidRPr="00000000">
              <w:rPr>
                <w:rtl w:val="0"/>
              </w:rPr>
            </w:r>
          </w:p>
        </w:tc>
      </w:tr>
      <w:tr>
        <w:trPr>
          <w:trHeight w:val="1790" w:hRule="atLeast"/>
        </w:trPr>
        <w:tc>
          <w:tcPr>
            <w:tcBorders>
              <w:bottom w:color="000000" w:space="0" w:sz="24" w:val="single"/>
            </w:tcBorders>
          </w:tcPr>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jc w:val="center"/>
              <w:rPr>
                <w:b w:val="1"/>
                <w:i w:val="1"/>
                <w:sz w:val="28"/>
                <w:szCs w:val="28"/>
              </w:rPr>
            </w:pPr>
            <w:r w:rsidDel="00000000" w:rsidR="00000000" w:rsidRPr="00000000">
              <w:rPr/>
              <w:drawing>
                <wp:inline distB="0" distT="0" distL="0" distR="0">
                  <wp:extent cx="1231900" cy="8382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31900" cy="838200"/>
                          </a:xfrm>
                          <a:prstGeom prst="rect"/>
                          <a:ln/>
                        </pic:spPr>
                      </pic:pic>
                    </a:graphicData>
                  </a:graphic>
                </wp:inline>
              </w:drawing>
            </w:r>
            <w:r w:rsidDel="00000000" w:rsidR="00000000" w:rsidRPr="00000000">
              <w:rPr>
                <w:rtl w:val="0"/>
              </w:rPr>
            </w:r>
          </w:p>
        </w:tc>
        <w:tc>
          <w:tcPr>
            <w:tcBorders>
              <w:bottom w:color="000000" w:space="0" w:sz="24" w:val="single"/>
            </w:tcBorders>
          </w:tcPr>
          <w:p w:rsidR="00000000" w:rsidDel="00000000" w:rsidP="00000000" w:rsidRDefault="00000000" w:rsidRPr="00000000" w14:paraId="0000000A">
            <w:pPr>
              <w:pStyle w:val="Heading3"/>
              <w:jc w:val="center"/>
              <w:rPr>
                <w:rFonts w:ascii="Times New Roman" w:cs="Times New Roman" w:eastAsia="Times New Roman" w:hAnsi="Times New Roman"/>
                <w:b w:val="1"/>
                <w:i w:val="0"/>
                <w:sz w:val="32"/>
                <w:szCs w:val="32"/>
              </w:rPr>
            </w:pPr>
            <w:r w:rsidDel="00000000" w:rsidR="00000000" w:rsidRPr="00000000">
              <w:rPr>
                <w:rFonts w:ascii="Times New Roman" w:cs="Times New Roman" w:eastAsia="Times New Roman" w:hAnsi="Times New Roman"/>
                <w:b w:val="1"/>
                <w:i w:val="0"/>
                <w:sz w:val="32"/>
                <w:szCs w:val="32"/>
                <w:rtl w:val="0"/>
              </w:rPr>
              <w:t xml:space="preserve">1</w:t>
            </w:r>
            <w:r w:rsidDel="00000000" w:rsidR="00000000" w:rsidRPr="00000000">
              <w:rPr>
                <w:rFonts w:ascii="Times New Roman" w:cs="Times New Roman" w:eastAsia="Times New Roman" w:hAnsi="Times New Roman"/>
                <w:b w:val="1"/>
                <w:i w:val="0"/>
                <w:sz w:val="32"/>
                <w:szCs w:val="32"/>
                <w:vertAlign w:val="superscript"/>
                <w:rtl w:val="0"/>
              </w:rPr>
              <w:t xml:space="preserve">st</w:t>
            </w:r>
            <w:r w:rsidDel="00000000" w:rsidR="00000000" w:rsidRPr="00000000">
              <w:rPr>
                <w:rFonts w:ascii="Times New Roman" w:cs="Times New Roman" w:eastAsia="Times New Roman" w:hAnsi="Times New Roman"/>
                <w:b w:val="1"/>
                <w:i w:val="0"/>
                <w:sz w:val="32"/>
                <w:szCs w:val="32"/>
                <w:rtl w:val="0"/>
              </w:rPr>
              <w:t xml:space="preserve"> LT Charles W. Whitcomb Middle School</w:t>
              <w:br w:type="textWrapping"/>
            </w:r>
            <w:r w:rsidDel="00000000" w:rsidR="00000000" w:rsidRPr="00000000">
              <w:rPr>
                <w:b w:val="1"/>
                <w:i w:val="0"/>
                <w:sz w:val="24"/>
                <w:szCs w:val="24"/>
                <w:rtl w:val="0"/>
              </w:rPr>
              <w:t xml:space="preserve">Principal Mary Murphy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Union Street   Marlborough, Massachusetts  01752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 460-3502    Fax (508) 460-3547    http://www.mps-edu.org/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DISTRICT: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Marlborough Public Schools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ENROLLMENT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1400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Traditional                         </w:t>
            </w:r>
          </w:p>
        </w:tc>
      </w:tr>
    </w:tbl>
    <w:p w:rsidR="00000000" w:rsidDel="00000000" w:rsidP="00000000" w:rsidRDefault="00000000" w:rsidRPr="00000000" w14:paraId="0000000E">
      <w:pPr>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0F">
      <w:pPr>
        <w:pStyle w:val="Heading4"/>
        <w:shd w:fill="00ccff" w:val="clear"/>
        <w:jc w:val="center"/>
        <w:rPr/>
      </w:pPr>
      <w:r w:rsidDel="00000000" w:rsidR="00000000" w:rsidRPr="00000000">
        <w:rPr>
          <w:rFonts w:ascii="Times New Roman" w:cs="Times New Roman" w:eastAsia="Times New Roman" w:hAnsi="Times New Roman"/>
          <w:b w:val="1"/>
          <w:color w:val="ffffff"/>
          <w:shd w:fill="00ccff" w:val="clear"/>
          <w:rtl w:val="0"/>
        </w:rPr>
        <w:t xml:space="preserve">School Guidance Program Mission</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The mission of the 1LT Charles W. Whitcomb School is to provide quality instruction to our diverse population so every student can establish a pattern of lifelong learning based upon the tenets of wellness, knowledge, creativity and skills.</w:t>
      </w:r>
    </w:p>
    <w:p w:rsidR="00000000" w:rsidDel="00000000" w:rsidP="00000000" w:rsidRDefault="00000000" w:rsidRPr="00000000" w14:paraId="00000012">
      <w:pPr>
        <w:spacing w:line="276" w:lineRule="auto"/>
        <w:rPr>
          <w:sz w:val="8"/>
          <w:szCs w:val="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Whitcomb’s fifth-grade guidance program is comprehensive and developmental in scope and sequence.  Lessons are designed to also include instruction and reinforcement of established grade curriculum frameworks, including ELA, Health and Wellness, and in this instance, Computer Technology. </w:t>
      </w:r>
    </w:p>
    <w:p w:rsidR="00000000" w:rsidDel="00000000" w:rsidP="00000000" w:rsidRDefault="00000000" w:rsidRPr="00000000" w14:paraId="00000014">
      <w:pPr>
        <w:spacing w:line="276" w:lineRule="auto"/>
        <w:rPr>
          <w:b w:val="1"/>
          <w:sz w:val="8"/>
          <w:szCs w:val="8"/>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b w:val="1"/>
          <w:rtl w:val="0"/>
        </w:rPr>
        <w:t xml:space="preserve">College and Career Unit: Resume Building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It is never too early for students to begin thinking about college and careers, and how focusing on their current studies can actually prepare them for future success.  During Academic Advising, our guidance staff delivered a 3-lesson unit in career and college readiness to 100% of all 16 fifth-grade classes (406 students).   </w:t>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Additionally, students received online resume building instruction and support for students during computer classes.  Lessons encouraged exploration of individual talents and skills, hopes and dreams and finally, developing individual resumes in accordance with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Students were encouraged to think about how their talents and skills could translate into careers that would bring personal fulfillment, financial security, as well as a positive impact on their society. Student responses were contemplative and positive.</w:t>
      </w:r>
    </w:p>
    <w:p w:rsidR="00000000" w:rsidDel="00000000" w:rsidP="00000000" w:rsidRDefault="00000000" w:rsidRPr="00000000" w14:paraId="0000001B">
      <w:pPr>
        <w:pStyle w:val="Heading4"/>
        <w:pBdr>
          <w:left w:color="000000" w:space="6" w:sz="4" w:val="single"/>
          <w:bottom w:color="000000" w:space="4" w:sz="4" w:val="single"/>
        </w:pBdr>
        <w:shd w:fill="00ccff" w:val="clear"/>
        <w:jc w:val="center"/>
        <w:rPr>
          <w:rFonts w:ascii="Times New Roman" w:cs="Times New Roman" w:eastAsia="Times New Roman" w:hAnsi="Times New Roman"/>
          <w:b w:val="1"/>
          <w:color w:val="ffffff"/>
          <w:shd w:fill="00ccff" w:val="clear"/>
        </w:rPr>
      </w:pPr>
      <w:r w:rsidDel="00000000" w:rsidR="00000000" w:rsidRPr="00000000">
        <w:rPr>
          <w:rFonts w:ascii="Times New Roman" w:cs="Times New Roman" w:eastAsia="Times New Roman" w:hAnsi="Times New Roman"/>
          <w:b w:val="1"/>
          <w:color w:val="ffffff"/>
          <w:shd w:fill="00ccff" w:val="clear"/>
          <w:rtl w:val="0"/>
        </w:rPr>
        <w:t xml:space="preserve">Student Results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ind w:firstLine="360"/>
        <w:jc w:val="center"/>
        <w:rPr>
          <w:b w:val="1"/>
          <w:u w:val="single"/>
        </w:rPr>
      </w:pPr>
      <w:r w:rsidDel="00000000" w:rsidR="00000000" w:rsidRPr="00000000">
        <w:rPr>
          <w:b w:val="1"/>
          <w:u w:val="single"/>
          <w:rtl w:val="0"/>
        </w:rPr>
        <w:t xml:space="preserve">National Curriculum Links: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C:A2.6 Learn how to write a résumé</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C:A2.7 Develop a positive attitude toward work and learning.</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C:B1.2 Identify personal skills, interests and abilities and relate them to current career choice.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Traits and Interests Lead to College and Careers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0" distT="0" distL="0" distR="0">
            <wp:extent cx="3124200" cy="3390900"/>
            <wp:effectExtent b="0" l="0" r="0" t="0"/>
            <wp:docPr id="2" name="image1.png"/>
            <a:graphic>
              <a:graphicData uri="http://schemas.openxmlformats.org/drawingml/2006/picture">
                <pic:pic>
                  <pic:nvPicPr>
                    <pic:cNvPr id="0" name="image1.png"/>
                    <pic:cNvPicPr preferRelativeResize="0"/>
                  </pic:nvPicPr>
                  <pic:blipFill>
                    <a:blip r:embed="rId11"/>
                    <a:srcRect b="-13" l="0" r="0" t="0"/>
                    <a:stretch>
                      <a:fillRect/>
                    </a:stretch>
                  </pic:blipFill>
                  <pic:spPr>
                    <a:xfrm>
                      <a:off x="0" y="0"/>
                      <a:ext cx="31242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b w:val="1"/>
          <w:i w:val="1"/>
        </w:rPr>
      </w:pPr>
      <w:r w:rsidDel="00000000" w:rsidR="00000000" w:rsidRPr="00000000">
        <w:rPr>
          <w:rtl w:val="0"/>
        </w:rPr>
      </w:r>
    </w:p>
    <w:p w:rsidR="00000000" w:rsidDel="00000000" w:rsidP="00000000" w:rsidRDefault="00000000" w:rsidRPr="00000000" w14:paraId="00000026">
      <w:pPr>
        <w:jc w:val="center"/>
        <w:rPr>
          <w:b w:val="1"/>
          <w:i w:val="1"/>
        </w:rPr>
      </w:pPr>
      <w:r w:rsidDel="00000000" w:rsidR="00000000" w:rsidRPr="00000000">
        <w:rPr>
          <w:b w:val="1"/>
          <w:i w:val="1"/>
          <w:rtl w:val="0"/>
        </w:rPr>
        <w:t xml:space="preserve">U.S. Bureau of Labor Statistics Categories</w:t>
        <w:br w:type="textWrapping"/>
        <w:t xml:space="preserve"> Division of Occupational Employment Statistics </w:t>
      </w:r>
    </w:p>
    <w:p w:rsidR="00000000" w:rsidDel="00000000" w:rsidP="00000000" w:rsidRDefault="00000000" w:rsidRPr="00000000" w14:paraId="00000027">
      <w:pPr>
        <w:ind w:firstLine="360"/>
        <w:rPr>
          <w:u w:val="single"/>
        </w:rPr>
      </w:pPr>
      <w:r w:rsidDel="00000000" w:rsidR="00000000" w:rsidRPr="00000000">
        <w:rPr>
          <w:rtl w:val="0"/>
        </w:rPr>
      </w:r>
    </w:p>
    <w:p w:rsidR="00000000" w:rsidDel="00000000" w:rsidP="00000000" w:rsidRDefault="00000000" w:rsidRPr="00000000" w14:paraId="00000028">
      <w:pPr>
        <w:ind w:firstLine="360"/>
        <w:rPr>
          <w:u w:val="single"/>
        </w:rPr>
      </w:pPr>
      <w:r w:rsidDel="00000000" w:rsidR="00000000" w:rsidRPr="00000000">
        <w:rPr>
          <w:rtl w:val="0"/>
        </w:rPr>
      </w:r>
    </w:p>
    <w:p w:rsidR="00000000" w:rsidDel="00000000" w:rsidP="00000000" w:rsidRDefault="00000000" w:rsidRPr="00000000" w14:paraId="00000029">
      <w:pPr>
        <w:jc w:val="center"/>
        <w:rPr>
          <w:b w:val="1"/>
          <w:i w:val="1"/>
        </w:rPr>
      </w:pPr>
      <w:r w:rsidDel="00000000" w:rsidR="00000000" w:rsidRPr="00000000">
        <w:rPr>
          <w:rtl w:val="0"/>
        </w:rPr>
      </w:r>
    </w:p>
    <w:p w:rsidR="00000000" w:rsidDel="00000000" w:rsidP="00000000" w:rsidRDefault="00000000" w:rsidRPr="00000000" w14:paraId="0000002A">
      <w:pPr>
        <w:spacing w:line="276" w:lineRule="auto"/>
        <w:rPr>
          <w:b w:val="1"/>
        </w:rPr>
      </w:pPr>
      <w:bookmarkStart w:colFirst="0" w:colLast="0" w:name="_gjdgxs" w:id="0"/>
      <w:bookmarkEnd w:id="0"/>
      <w:r w:rsidDel="00000000" w:rsidR="00000000" w:rsidRPr="00000000">
        <w:rPr>
          <w:rtl w:val="0"/>
        </w:rPr>
        <w:t xml:space="preserve">  </w:t>
      </w:r>
      <w:r w:rsidDel="00000000" w:rsidR="00000000" w:rsidRPr="00000000">
        <w:rPr>
          <w:b w:val="1"/>
          <w:rtl w:val="0"/>
        </w:rPr>
        <w:t xml:space="preserve">Arts, Design, Entertainment, Sports and Media</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drawing>
          <wp:inline distB="0" distT="0" distL="0" distR="0">
            <wp:extent cx="3225800" cy="2781300"/>
            <wp:effectExtent b="19050" l="19050" r="19050" t="1905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225800" cy="2781300"/>
                    </a:xfrm>
                    <a:prstGeom prst="rect"/>
                    <a:ln w="190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D">
      <w:pPr>
        <w:rPr>
          <w:sz w:val="12"/>
          <w:szCs w:val="12"/>
        </w:rPr>
      </w:pPr>
      <w:r w:rsidDel="00000000" w:rsidR="00000000" w:rsidRPr="00000000">
        <w:rPr>
          <w:rtl w:val="0"/>
        </w:rPr>
      </w:r>
    </w:p>
    <w:p w:rsidR="00000000" w:rsidDel="00000000" w:rsidP="00000000" w:rsidRDefault="00000000" w:rsidRPr="00000000" w14:paraId="0000002E">
      <w:pPr>
        <w:rPr>
          <w:sz w:val="12"/>
          <w:szCs w:val="12"/>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Grade 5 students quite possibly have the most interest in Arts, Design, Entertainment, Sports and Media fields as a result of their of their participation in age-appropriate, extracurricular activities.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0" distT="0" distL="0" distR="0">
            <wp:extent cx="3060700" cy="3162300"/>
            <wp:effectExtent b="19050" l="19050" r="19050" t="1905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060700" cy="3162300"/>
                    </a:xfrm>
                    <a:prstGeom prst="rect"/>
                    <a:ln w="190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3">
      <w:pPr>
        <w:rPr>
          <w:sz w:val="12"/>
          <w:szCs w:val="12"/>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color w:val="ffffff"/>
        </w:rPr>
      </w:pPr>
      <w:r w:rsidDel="00000000" w:rsidR="00000000" w:rsidRPr="00000000">
        <w:rPr>
          <w:rtl w:val="0"/>
        </w:rPr>
        <w:t xml:space="preserve">Integrating a contextual model of career development for young students that exposes them to a wider variety of experiences in the humanities, math and sciences can help them better understand the connection between school work and a personally satisfying, future career.</w:t>
      </w:r>
      <w:r w:rsidDel="00000000" w:rsidR="00000000" w:rsidRPr="00000000">
        <w:rPr>
          <w:b w:val="1"/>
          <w:color w:val="ffffff"/>
          <w:rtl w:val="0"/>
        </w:rPr>
        <w:t xml:space="preserve"> </w:t>
      </w:r>
    </w:p>
    <w:p w:rsidR="00000000" w:rsidDel="00000000" w:rsidP="00000000" w:rsidRDefault="00000000" w:rsidRPr="00000000" w14:paraId="00000036">
      <w:pPr>
        <w:rPr>
          <w:b w:val="1"/>
          <w:color w:val="ffffff"/>
        </w:rPr>
      </w:pPr>
      <w:r w:rsidDel="00000000" w:rsidR="00000000" w:rsidRPr="00000000">
        <w:rPr>
          <w:rtl w:val="0"/>
        </w:rPr>
      </w:r>
    </w:p>
    <w:p w:rsidR="00000000" w:rsidDel="00000000" w:rsidP="00000000" w:rsidRDefault="00000000" w:rsidRPr="00000000" w14:paraId="00000037">
      <w:pPr>
        <w:pStyle w:val="Heading4"/>
        <w:shd w:fill="00ccff" w:val="clear"/>
        <w:jc w:val="center"/>
        <w:rPr/>
      </w:pPr>
      <w:r w:rsidDel="00000000" w:rsidR="00000000" w:rsidRPr="00000000">
        <w:rPr>
          <w:rFonts w:ascii="Times New Roman" w:cs="Times New Roman" w:eastAsia="Times New Roman" w:hAnsi="Times New Roman"/>
          <w:b w:val="1"/>
          <w:color w:val="ffffff"/>
          <w:shd w:fill="00ccff" w:val="clear"/>
          <w:rtl w:val="0"/>
        </w:rPr>
        <w:t xml:space="preserve">Focus for Improvement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Marlborough Public Schools continues to build its curriculum to offer more cultural, technical, literary and mathematical experiences and learning opportunities.  It is expected that student achievement will be further reflected in broadened student career aspirations.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culturally-rich, civic-minded city is also home to a thriving business community.  As students develop connections to their community, relationships with local businesses and civic leaders will enable them to experience a variety of careers and professions.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Welcoming Changes, Recognizing Opportunities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more than ever, teaching students to expect and embrace change is as important to their success as knowledge and skill.   Successfully adapting and flourishing during change is integral to one's career success as is knowledge, ability and drive. Today, an effective career planning program must also offer specific instruction in functional adaptability, resiliency, and how to cultivate and sustain relationships in a multicultural society.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42">
      <w:pPr>
        <w:rPr>
          <w:sz w:val="12"/>
          <w:szCs w:val="12"/>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Our student support personnel team is comprised of the following professionals:</w:t>
      </w:r>
    </w:p>
    <w:p w:rsidR="00000000" w:rsidDel="00000000" w:rsidP="00000000" w:rsidRDefault="00000000" w:rsidRPr="00000000" w14:paraId="00000044">
      <w:pPr>
        <w:rPr>
          <w:b w:val="1"/>
          <w:sz w:val="12"/>
          <w:szCs w:val="12"/>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Principal</w:t>
      </w:r>
    </w:p>
    <w:p w:rsidR="00000000" w:rsidDel="00000000" w:rsidP="00000000" w:rsidRDefault="00000000" w:rsidRPr="00000000" w14:paraId="00000046">
      <w:pPr>
        <w:rPr/>
      </w:pPr>
      <w:r w:rsidDel="00000000" w:rsidR="00000000" w:rsidRPr="00000000">
        <w:rPr>
          <w:rtl w:val="0"/>
        </w:rPr>
        <w:t xml:space="preserve">Mary Murphy</w:t>
      </w:r>
    </w:p>
    <w:p w:rsidR="00000000" w:rsidDel="00000000" w:rsidP="00000000" w:rsidRDefault="00000000" w:rsidRPr="00000000" w14:paraId="00000047">
      <w:pPr>
        <w:rPr>
          <w:b w:val="1"/>
          <w:sz w:val="12"/>
          <w:szCs w:val="12"/>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Assistant Principals</w:t>
      </w:r>
    </w:p>
    <w:p w:rsidR="00000000" w:rsidDel="00000000" w:rsidP="00000000" w:rsidRDefault="00000000" w:rsidRPr="00000000" w14:paraId="00000049">
      <w:pPr>
        <w:rPr/>
      </w:pPr>
      <w:r w:rsidDel="00000000" w:rsidR="00000000" w:rsidRPr="00000000">
        <w:rPr>
          <w:rtl w:val="0"/>
        </w:rPr>
        <w:t xml:space="preserve">Kalliope Pantazopoulos Grade 5</w:t>
      </w:r>
    </w:p>
    <w:p w:rsidR="00000000" w:rsidDel="00000000" w:rsidP="00000000" w:rsidRDefault="00000000" w:rsidRPr="00000000" w14:paraId="0000004A">
      <w:pPr>
        <w:rPr/>
      </w:pPr>
      <w:r w:rsidDel="00000000" w:rsidR="00000000" w:rsidRPr="00000000">
        <w:rPr>
          <w:rtl w:val="0"/>
        </w:rPr>
        <w:t xml:space="preserve">Bethany Pritchard, Grade 6</w:t>
      </w:r>
    </w:p>
    <w:p w:rsidR="00000000" w:rsidDel="00000000" w:rsidP="00000000" w:rsidRDefault="00000000" w:rsidRPr="00000000" w14:paraId="0000004B">
      <w:pPr>
        <w:rPr/>
      </w:pPr>
      <w:r w:rsidDel="00000000" w:rsidR="00000000" w:rsidRPr="00000000">
        <w:rPr>
          <w:rtl w:val="0"/>
        </w:rPr>
        <w:t xml:space="preserve">Richard Lacina, Grade 7</w:t>
      </w:r>
    </w:p>
    <w:p w:rsidR="00000000" w:rsidDel="00000000" w:rsidP="00000000" w:rsidRDefault="00000000" w:rsidRPr="00000000" w14:paraId="0000004C">
      <w:pPr>
        <w:rPr/>
      </w:pPr>
      <w:r w:rsidDel="00000000" w:rsidR="00000000" w:rsidRPr="00000000">
        <w:rPr>
          <w:rtl w:val="0"/>
        </w:rPr>
        <w:t xml:space="preserve">Wayne Labbe, Grade 8</w:t>
      </w:r>
    </w:p>
    <w:p w:rsidR="00000000" w:rsidDel="00000000" w:rsidP="00000000" w:rsidRDefault="00000000" w:rsidRPr="00000000" w14:paraId="0000004D">
      <w:pPr>
        <w:rPr>
          <w:sz w:val="12"/>
          <w:szCs w:val="12"/>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School Adjustment Counselors</w:t>
      </w:r>
    </w:p>
    <w:p w:rsidR="00000000" w:rsidDel="00000000" w:rsidP="00000000" w:rsidRDefault="00000000" w:rsidRPr="00000000" w14:paraId="0000004F">
      <w:pPr>
        <w:rPr/>
      </w:pPr>
      <w:r w:rsidDel="00000000" w:rsidR="00000000" w:rsidRPr="00000000">
        <w:rPr>
          <w:rtl w:val="0"/>
        </w:rPr>
        <w:t xml:space="preserve">Loretta Braverman, Grades 5, 6</w:t>
      </w:r>
    </w:p>
    <w:p w:rsidR="00000000" w:rsidDel="00000000" w:rsidP="00000000" w:rsidRDefault="00000000" w:rsidRPr="00000000" w14:paraId="00000050">
      <w:pPr>
        <w:rPr/>
      </w:pPr>
      <w:r w:rsidDel="00000000" w:rsidR="00000000" w:rsidRPr="00000000">
        <w:rPr>
          <w:rtl w:val="0"/>
        </w:rPr>
        <w:t xml:space="preserve">Michelle Stakutis, Grades 7, 8</w:t>
      </w:r>
    </w:p>
    <w:p w:rsidR="00000000" w:rsidDel="00000000" w:rsidP="00000000" w:rsidRDefault="00000000" w:rsidRPr="00000000" w14:paraId="00000051">
      <w:pPr>
        <w:rPr>
          <w:b w:val="1"/>
          <w:sz w:val="12"/>
          <w:szCs w:val="12"/>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School Guidance Counselors</w:t>
      </w:r>
    </w:p>
    <w:p w:rsidR="00000000" w:rsidDel="00000000" w:rsidP="00000000" w:rsidRDefault="00000000" w:rsidRPr="00000000" w14:paraId="00000053">
      <w:pPr>
        <w:rPr/>
      </w:pPr>
      <w:r w:rsidDel="00000000" w:rsidR="00000000" w:rsidRPr="00000000">
        <w:rPr>
          <w:rtl w:val="0"/>
        </w:rPr>
        <w:t xml:space="preserve">Kelli Anne Jardim, Grade 5</w:t>
      </w:r>
    </w:p>
    <w:p w:rsidR="00000000" w:rsidDel="00000000" w:rsidP="00000000" w:rsidRDefault="00000000" w:rsidRPr="00000000" w14:paraId="00000054">
      <w:pPr>
        <w:rPr/>
      </w:pPr>
      <w:r w:rsidDel="00000000" w:rsidR="00000000" w:rsidRPr="00000000">
        <w:rPr>
          <w:rtl w:val="0"/>
        </w:rPr>
        <w:t xml:space="preserve">Laura Henderson, Grade 6</w:t>
      </w:r>
    </w:p>
    <w:p w:rsidR="00000000" w:rsidDel="00000000" w:rsidP="00000000" w:rsidRDefault="00000000" w:rsidRPr="00000000" w14:paraId="00000055">
      <w:pPr>
        <w:rPr/>
      </w:pPr>
      <w:r w:rsidDel="00000000" w:rsidR="00000000" w:rsidRPr="00000000">
        <w:rPr>
          <w:rtl w:val="0"/>
        </w:rPr>
        <w:t xml:space="preserve">Shelly Kennedy-Leonard, Grade 7</w:t>
      </w:r>
    </w:p>
    <w:p w:rsidR="00000000" w:rsidDel="00000000" w:rsidP="00000000" w:rsidRDefault="00000000" w:rsidRPr="00000000" w14:paraId="00000056">
      <w:pPr>
        <w:rPr/>
      </w:pPr>
      <w:r w:rsidDel="00000000" w:rsidR="00000000" w:rsidRPr="00000000">
        <w:rPr>
          <w:rtl w:val="0"/>
        </w:rPr>
        <w:t xml:space="preserve">Lilian Kane, Grade 8</w:t>
      </w:r>
    </w:p>
    <w:p w:rsidR="00000000" w:rsidDel="00000000" w:rsidP="00000000" w:rsidRDefault="00000000" w:rsidRPr="00000000" w14:paraId="00000057">
      <w:pPr>
        <w:rPr>
          <w:b w:val="1"/>
          <w:sz w:val="12"/>
          <w:szCs w:val="12"/>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School Guidance Counselor Practicum Students </w:t>
      </w:r>
    </w:p>
    <w:p w:rsidR="00000000" w:rsidDel="00000000" w:rsidP="00000000" w:rsidRDefault="00000000" w:rsidRPr="00000000" w14:paraId="00000059">
      <w:pPr>
        <w:rPr/>
      </w:pPr>
      <w:r w:rsidDel="00000000" w:rsidR="00000000" w:rsidRPr="00000000">
        <w:rPr>
          <w:rtl w:val="0"/>
        </w:rPr>
        <w:t xml:space="preserve">Gabriela DiGiandomenico, Assumption College</w:t>
      </w:r>
    </w:p>
    <w:p w:rsidR="00000000" w:rsidDel="00000000" w:rsidP="00000000" w:rsidRDefault="00000000" w:rsidRPr="00000000" w14:paraId="0000005A">
      <w:pPr>
        <w:rPr/>
      </w:pPr>
      <w:r w:rsidDel="00000000" w:rsidR="00000000" w:rsidRPr="00000000">
        <w:rPr>
          <w:rtl w:val="0"/>
        </w:rPr>
        <w:t xml:space="preserve">Joan D’Onofrio, Fitchburg State University</w:t>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ril Fatface">
    <w:embedRegular w:fontKey="{00000000-0000-0000-0000-000000000000}" r:id="rId9" w:subsetted="0"/>
  </w:font>
  <w:font w:name="Noto Sans Symbols"/>
  <w:font w:name="Lustria">
    <w:embedRegular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Lustria-regular.ttf"/><Relationship Id="rId9" Type="http://schemas.openxmlformats.org/officeDocument/2006/relationships/font" Target="fonts/AbrilFatface-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