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Layout w:type="fixed"/>
        <w:tblLook w:val="0000"/>
      </w:tblPr>
      <w:tblGrid>
        <w:gridCol w:w="2520"/>
        <w:gridCol w:w="8280"/>
        <w:tblGridChange w:id="0">
          <w:tblGrid>
            <w:gridCol w:w="2520"/>
            <w:gridCol w:w="8280"/>
          </w:tblGrid>
        </w:tblGridChange>
      </w:tblGrid>
      <w:tr>
        <w:tc>
          <w:tcPr>
            <w:shd w:fill="auto" w:val="clear"/>
            <w:vAlign w:val="top"/>
          </w:tcPr>
          <w:p w:rsidR="00000000" w:rsidDel="00000000" w:rsidP="00000000" w:rsidRDefault="00000000" w:rsidRPr="00000000" w14:paraId="00000002">
            <w:pPr>
              <w:rPr>
                <w:sz w:val="28"/>
                <w:szCs w:val="28"/>
                <w:vertAlign w:val="baseline"/>
              </w:rPr>
            </w:pPr>
            <w:r w:rsidDel="00000000" w:rsidR="00000000" w:rsidRPr="00000000">
              <w:rPr>
                <w:vertAlign w:val="baseline"/>
              </w:rPr>
              <w:drawing>
                <wp:inline distB="0" distT="0" distL="114300" distR="114300">
                  <wp:extent cx="1416685" cy="736600"/>
                  <wp:effectExtent b="0" l="0" r="0" t="0"/>
                  <wp:docPr id="5" name="image7.jpg"/>
                  <a:graphic>
                    <a:graphicData uri="http://schemas.openxmlformats.org/drawingml/2006/picture">
                      <pic:pic>
                        <pic:nvPicPr>
                          <pic:cNvPr id="0" name="image7.jpg"/>
                          <pic:cNvPicPr preferRelativeResize="0"/>
                        </pic:nvPicPr>
                        <pic:blipFill>
                          <a:blip r:embed="rId6"/>
                          <a:srcRect b="0" l="0" r="0" t="0"/>
                          <a:stretch>
                            <a:fillRect/>
                          </a:stretch>
                        </pic:blipFill>
                        <pic:spPr>
                          <a:xfrm>
                            <a:off x="0" y="0"/>
                            <a:ext cx="1416685" cy="736600"/>
                          </a:xfrm>
                          <a:prstGeom prst="rect"/>
                          <a:ln/>
                        </pic:spPr>
                      </pic:pic>
                    </a:graphicData>
                  </a:graphic>
                </wp:inline>
              </w:drawing>
            </w:r>
            <w:r w:rsidDel="00000000" w:rsidR="00000000" w:rsidRPr="00000000">
              <w:rPr>
                <w:rtl w:val="0"/>
              </w:rPr>
            </w:r>
          </w:p>
        </w:tc>
        <w:tc>
          <w:tcPr>
            <w:tcBorders>
              <w:left w:color="000000" w:space="0" w:sz="0" w:val="nil"/>
            </w:tcBorders>
            <w:shd w:fill="339966" w:val="clear"/>
            <w:vAlign w:val="top"/>
          </w:tcPr>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rFonts w:ascii="Corsiva" w:cs="Corsiva" w:eastAsia="Corsiva" w:hAnsi="Corsiva"/>
                <w:b w:val="0"/>
                <w:color w:val="ffffff"/>
                <w:sz w:val="48"/>
                <w:szCs w:val="48"/>
                <w:vertAlign w:val="baseline"/>
              </w:rPr>
            </w:pPr>
            <w:r w:rsidDel="00000000" w:rsidR="00000000" w:rsidRPr="00000000">
              <w:rPr>
                <w:rFonts w:ascii="Corsiva" w:cs="Corsiva" w:eastAsia="Corsiva" w:hAnsi="Corsiva"/>
                <w:b w:val="1"/>
                <w:color w:val="ffffff"/>
                <w:sz w:val="48"/>
                <w:szCs w:val="48"/>
                <w:vertAlign w:val="baseline"/>
                <w:rtl w:val="0"/>
              </w:rPr>
              <w:t xml:space="preserve">Massachusetts Accountability Report Card</w:t>
            </w:r>
            <w:r w:rsidDel="00000000" w:rsidR="00000000" w:rsidRPr="00000000">
              <w:rPr>
                <w:rtl w:val="0"/>
              </w:rPr>
            </w:r>
          </w:p>
          <w:p w:rsidR="00000000" w:rsidDel="00000000" w:rsidP="00000000" w:rsidRDefault="00000000" w:rsidRPr="00000000" w14:paraId="00000005">
            <w:pPr>
              <w:rPr>
                <w:i w:val="0"/>
                <w:color w:val="ffffff"/>
                <w:sz w:val="28"/>
                <w:szCs w:val="28"/>
                <w:vertAlign w:val="baseline"/>
              </w:rPr>
            </w:pPr>
            <w:r w:rsidDel="00000000" w:rsidR="00000000" w:rsidRPr="00000000">
              <w:rPr>
                <w:i w:val="1"/>
                <w:color w:val="ffffff"/>
                <w:sz w:val="28"/>
                <w:szCs w:val="28"/>
                <w:vertAlign w:val="baseline"/>
                <w:rtl w:val="0"/>
              </w:rPr>
              <w:t xml:space="preserve">A continuous improvement document for school counseling outcomes</w:t>
            </w:r>
            <w:r w:rsidDel="00000000" w:rsidR="00000000" w:rsidRPr="00000000">
              <w:rPr>
                <w:rtl w:val="0"/>
              </w:rPr>
            </w:r>
          </w:p>
          <w:p w:rsidR="00000000" w:rsidDel="00000000" w:rsidP="00000000" w:rsidRDefault="00000000" w:rsidRPr="00000000" w14:paraId="00000006">
            <w:pPr>
              <w:rPr>
                <w:rFonts w:ascii="Corsiva" w:cs="Corsiva" w:eastAsia="Corsiva" w:hAnsi="Corsiva"/>
                <w:b w:val="0"/>
                <w:i w:val="0"/>
                <w:color w:val="ffffff"/>
                <w:sz w:val="44"/>
                <w:szCs w:val="44"/>
                <w:vertAlign w:val="baseline"/>
              </w:rPr>
            </w:pPr>
            <w:r w:rsidDel="00000000" w:rsidR="00000000" w:rsidRPr="00000000">
              <w:rPr>
                <w:b w:val="1"/>
                <w:i w:val="1"/>
                <w:color w:val="ffffff"/>
                <w:sz w:val="28"/>
                <w:szCs w:val="28"/>
                <w:vertAlign w:val="baseline"/>
                <w:rtl w:val="0"/>
              </w:rPr>
              <w:t xml:space="preserve">                                   </w:t>
            </w:r>
            <w:r w:rsidDel="00000000" w:rsidR="00000000" w:rsidRPr="00000000">
              <w:rPr>
                <w:rFonts w:ascii="Corsiva" w:cs="Corsiva" w:eastAsia="Corsiva" w:hAnsi="Corsiva"/>
                <w:b w:val="1"/>
                <w:i w:val="1"/>
                <w:color w:val="ffffff"/>
                <w:sz w:val="44"/>
                <w:szCs w:val="44"/>
                <w:vertAlign w:val="baseline"/>
                <w:rtl w:val="0"/>
              </w:rPr>
              <w:t xml:space="preserve">M.A.R.C. Jr.   </w:t>
            </w:r>
            <w:r w:rsidDel="00000000" w:rsidR="00000000" w:rsidRPr="00000000">
              <w:rPr>
                <w:rtl w:val="0"/>
              </w:rPr>
            </w:r>
          </w:p>
          <w:p w:rsidR="00000000" w:rsidDel="00000000" w:rsidP="00000000" w:rsidRDefault="00000000" w:rsidRPr="00000000" w14:paraId="00000007">
            <w:pPr>
              <w:rPr>
                <w:rFonts w:ascii="Corsiva" w:cs="Corsiva" w:eastAsia="Corsiva" w:hAnsi="Corsiva"/>
                <w:b w:val="0"/>
                <w:i w:val="0"/>
                <w:sz w:val="44"/>
                <w:szCs w:val="44"/>
                <w:vertAlign w:val="baseline"/>
              </w:rPr>
            </w:pPr>
            <w:r w:rsidDel="00000000" w:rsidR="00000000" w:rsidRPr="00000000">
              <w:rPr>
                <w:rFonts w:ascii="Corsiva" w:cs="Corsiva" w:eastAsia="Corsiva" w:hAnsi="Corsiva"/>
                <w:b w:val="1"/>
                <w:i w:val="1"/>
                <w:color w:val="ffffff"/>
                <w:sz w:val="44"/>
                <w:szCs w:val="44"/>
                <w:vertAlign w:val="baseline"/>
                <w:rtl w:val="0"/>
              </w:rPr>
              <w:t xml:space="preserve">              2012-2013 School Year</w:t>
            </w:r>
            <w:r w:rsidDel="00000000" w:rsidR="00000000" w:rsidRPr="00000000">
              <w:rPr>
                <w:rtl w:val="0"/>
              </w:rPr>
            </w:r>
          </w:p>
        </w:tc>
      </w:tr>
      <w:tr>
        <w:trPr>
          <w:trHeight w:val="1790" w:hRule="atLeast"/>
        </w:trPr>
        <w:tc>
          <w:tcPr>
            <w:tcBorders>
              <w:bottom w:color="000000" w:space="0" w:sz="24" w:val="single"/>
            </w:tcBorders>
            <w:vAlign w:val="top"/>
          </w:tcPr>
          <w:p w:rsidR="00000000" w:rsidDel="00000000" w:rsidP="00000000" w:rsidRDefault="00000000" w:rsidRPr="00000000" w14:paraId="00000008">
            <w:pPr>
              <w:rPr>
                <w:sz w:val="28"/>
                <w:szCs w:val="28"/>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-260984</wp:posOffset>
                  </wp:positionH>
                  <wp:positionV relativeFrom="paragraph">
                    <wp:posOffset>100965</wp:posOffset>
                  </wp:positionV>
                  <wp:extent cx="1810385" cy="1337310"/>
                  <wp:effectExtent b="0" l="0" r="0" t="0"/>
                  <wp:wrapNone/>
                  <wp:docPr id="4"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1810385" cy="1337310"/>
                          </a:xfrm>
                          <a:prstGeom prst="rect"/>
                          <a:ln/>
                        </pic:spPr>
                      </pic:pic>
                    </a:graphicData>
                  </a:graphic>
                </wp:anchor>
              </w:drawing>
            </w:r>
          </w:p>
          <w:p w:rsidR="00000000" w:rsidDel="00000000" w:rsidP="00000000" w:rsidRDefault="00000000" w:rsidRPr="00000000" w14:paraId="00000009">
            <w:pPr>
              <w:rPr>
                <w:b w:val="0"/>
                <w:i w:val="0"/>
                <w:sz w:val="28"/>
                <w:szCs w:val="28"/>
                <w:vertAlign w:val="baseline"/>
              </w:rPr>
            </w:pPr>
            <w:r w:rsidDel="00000000" w:rsidR="00000000" w:rsidRPr="00000000">
              <w:rPr>
                <w:rtl w:val="0"/>
              </w:rPr>
            </w:r>
          </w:p>
        </w:tc>
        <w:tc>
          <w:tcPr>
            <w:tcBorders>
              <w:bottom w:color="000000" w:space="0" w:sz="24" w:val="single"/>
            </w:tcBorders>
            <w:vAlign w:val="top"/>
          </w:tcPr>
          <w:p w:rsidR="00000000" w:rsidDel="00000000" w:rsidP="00000000" w:rsidRDefault="00000000" w:rsidRPr="00000000" w14:paraId="0000000A">
            <w:pPr>
              <w:pStyle w:val="Heading3"/>
              <w:rPr>
                <w:rFonts w:ascii="Times New Roman" w:cs="Times New Roman" w:eastAsia="Times New Roman" w:hAnsi="Times New Roman"/>
                <w:b w:val="0"/>
                <w:i w:val="0"/>
                <w:sz w:val="32"/>
                <w:szCs w:val="32"/>
                <w:vertAlign w:val="baseline"/>
              </w:rPr>
            </w:pPr>
            <w:r w:rsidDel="00000000" w:rsidR="00000000" w:rsidRPr="00000000">
              <w:rPr>
                <w:rFonts w:ascii="Times New Roman" w:cs="Times New Roman" w:eastAsia="Times New Roman" w:hAnsi="Times New Roman"/>
                <w:b w:val="1"/>
                <w:i w:val="0"/>
                <w:sz w:val="32"/>
                <w:szCs w:val="32"/>
                <w:vertAlign w:val="baseline"/>
                <w:rtl w:val="0"/>
              </w:rPr>
              <w:t xml:space="preserve">Brayton Elementary School</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3709670</wp:posOffset>
                  </wp:positionH>
                  <wp:positionV relativeFrom="paragraph">
                    <wp:posOffset>64135</wp:posOffset>
                  </wp:positionV>
                  <wp:extent cx="1456690" cy="968375"/>
                  <wp:effectExtent b="0" l="0" r="0" t="0"/>
                  <wp:wrapNone/>
                  <wp:docPr id="3" name="image6.jpg"/>
                  <a:graphic>
                    <a:graphicData uri="http://schemas.openxmlformats.org/drawingml/2006/picture">
                      <pic:pic>
                        <pic:nvPicPr>
                          <pic:cNvPr id="0" name="image6.jpg"/>
                          <pic:cNvPicPr preferRelativeResize="0"/>
                        </pic:nvPicPr>
                        <pic:blipFill>
                          <a:blip r:embed="rId8"/>
                          <a:srcRect b="0" l="0" r="0" t="0"/>
                          <a:stretch>
                            <a:fillRect/>
                          </a:stretch>
                        </pic:blipFill>
                        <pic:spPr>
                          <a:xfrm>
                            <a:off x="0" y="0"/>
                            <a:ext cx="1456690" cy="968375"/>
                          </a:xfrm>
                          <a:prstGeom prst="rect"/>
                          <a:ln/>
                        </pic:spPr>
                      </pic:pic>
                    </a:graphicData>
                  </a:graphic>
                </wp:anchor>
              </w:drawing>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Barbour St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North Adams, MA 01247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413-662-3260</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http://brayton.napsk12.org</w:t>
            </w:r>
          </w:p>
          <w:p w:rsidR="00000000" w:rsidDel="00000000" w:rsidP="00000000" w:rsidRDefault="00000000" w:rsidRPr="00000000" w14:paraId="0000000F">
            <w:pPr>
              <w:rPr>
                <w:b w:val="0"/>
                <w:vertAlign w:val="baseline"/>
              </w:rPr>
            </w:pPr>
            <w:r w:rsidDel="00000000" w:rsidR="00000000" w:rsidRPr="00000000">
              <w:rPr>
                <w:b w:val="1"/>
                <w:vertAlign w:val="baseline"/>
                <w:rtl w:val="0"/>
              </w:rPr>
              <w:t xml:space="preserve">DISTRICT: North Adams Public Schools</w:t>
            </w: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b w:val="1"/>
                <w:vertAlign w:val="baseline"/>
                <w:rtl w:val="0"/>
              </w:rPr>
              <w:t xml:space="preserve">GRADE LEVELS</w:t>
            </w:r>
            <w:r w:rsidDel="00000000" w:rsidR="00000000" w:rsidRPr="00000000">
              <w:rPr>
                <w:vertAlign w:val="baseline"/>
                <w:rtl w:val="0"/>
              </w:rPr>
              <w:t xml:space="preserve">:  P - 7            </w:t>
            </w:r>
            <w:r w:rsidDel="00000000" w:rsidR="00000000" w:rsidRPr="00000000">
              <w:rPr>
                <w:b w:val="1"/>
                <w:vertAlign w:val="baseline"/>
                <w:rtl w:val="0"/>
              </w:rPr>
              <w:t xml:space="preserve"> ENROLLMENT</w:t>
            </w:r>
            <w:r w:rsidDel="00000000" w:rsidR="00000000" w:rsidRPr="00000000">
              <w:rPr>
                <w:vertAlign w:val="baseline"/>
                <w:rtl w:val="0"/>
              </w:rPr>
              <w:t xml:space="preserve">:  537</w:t>
            </w:r>
          </w:p>
          <w:p w:rsidR="00000000" w:rsidDel="00000000" w:rsidP="00000000" w:rsidRDefault="00000000" w:rsidRPr="00000000" w14:paraId="00000011">
            <w:pPr>
              <w:rPr>
                <w:vertAlign w:val="baseline"/>
              </w:rPr>
            </w:pPr>
            <w:r w:rsidDel="00000000" w:rsidR="00000000" w:rsidRPr="00000000">
              <w:rPr>
                <w:b w:val="1"/>
                <w:vertAlign w:val="baseline"/>
                <w:rtl w:val="0"/>
              </w:rPr>
              <w:t xml:space="preserve">SCHOOL YEAR</w:t>
            </w:r>
            <w:r w:rsidDel="00000000" w:rsidR="00000000" w:rsidRPr="00000000">
              <w:rPr>
                <w:vertAlign w:val="baseline"/>
                <w:rtl w:val="0"/>
              </w:rPr>
              <w:t xml:space="preserve">:  traditional with after school and summer programs</w:t>
            </w:r>
          </w:p>
          <w:p w:rsidR="00000000" w:rsidDel="00000000" w:rsidP="00000000" w:rsidRDefault="00000000" w:rsidRPr="00000000" w14:paraId="00000012">
            <w:pPr>
              <w:rPr>
                <w:vertAlign w:val="baseline"/>
              </w:rPr>
            </w:pPr>
            <w:r w:rsidDel="00000000" w:rsidR="00000000" w:rsidRPr="00000000">
              <w:rPr>
                <w:b w:val="1"/>
                <w:vertAlign w:val="baseline"/>
                <w:rtl w:val="0"/>
              </w:rPr>
              <w:t xml:space="preserve">PRINCIPAL</w:t>
            </w:r>
            <w:r w:rsidDel="00000000" w:rsidR="00000000" w:rsidRPr="00000000">
              <w:rPr>
                <w:vertAlign w:val="baseline"/>
                <w:rtl w:val="0"/>
              </w:rPr>
              <w:t xml:space="preserve">:  Sarah Madden</w:t>
            </w:r>
          </w:p>
        </w:tc>
      </w:tr>
    </w:tbl>
    <w:p w:rsidR="00000000" w:rsidDel="00000000" w:rsidP="00000000" w:rsidRDefault="00000000" w:rsidRPr="00000000" w14:paraId="00000013">
      <w:pPr>
        <w:rPr>
          <w:vertAlign w:val="baseline"/>
        </w:rPr>
        <w:sectPr>
          <w:headerReference r:id="rId9" w:type="default"/>
          <w:headerReference r:id="rId10" w:type="first"/>
          <w:headerReference r:id="rId11" w:type="even"/>
          <w:pgSz w:h="15840" w:w="12240" w:orient="portrait"/>
          <w:pgMar w:bottom="432" w:top="360" w:left="720" w:right="720" w:header="360" w:footer="432"/>
          <w:pgNumType w:start="1"/>
        </w:sectPr>
      </w:pPr>
      <w:r w:rsidDel="00000000" w:rsidR="00000000" w:rsidRPr="00000000">
        <w:rPr>
          <w:rtl w:val="0"/>
        </w:rPr>
      </w:r>
    </w:p>
    <w:p w:rsidR="00000000" w:rsidDel="00000000" w:rsidP="00000000" w:rsidRDefault="00000000" w:rsidRPr="00000000" w14:paraId="00000014">
      <w:pPr>
        <w:pStyle w:val="Heading4"/>
        <w:shd w:fill="00ccff" w:val="clear"/>
        <w:jc w:val="center"/>
        <w:rPr>
          <w:rFonts w:ascii="Times New Roman" w:cs="Times New Roman" w:eastAsia="Times New Roman" w:hAnsi="Times New Roman"/>
          <w:b w:val="0"/>
          <w:color w:val="ffffff"/>
          <w:sz w:val="24"/>
          <w:szCs w:val="24"/>
          <w:vertAlign w:val="baseline"/>
        </w:rPr>
      </w:pPr>
      <w:r w:rsidDel="00000000" w:rsidR="00000000" w:rsidRPr="00000000">
        <w:rPr>
          <w:rFonts w:ascii="Times New Roman" w:cs="Times New Roman" w:eastAsia="Times New Roman" w:hAnsi="Times New Roman"/>
          <w:b w:val="1"/>
          <w:color w:val="ffffff"/>
          <w:sz w:val="24"/>
          <w:szCs w:val="24"/>
          <w:shd w:fill="00ccff" w:val="clear"/>
          <w:vertAlign w:val="baseline"/>
          <w:rtl w:val="0"/>
        </w:rPr>
        <w:t xml:space="preserve">Principal’s Comments</w:t>
      </w:r>
      <w:r w:rsidDel="00000000" w:rsidR="00000000" w:rsidRPr="00000000">
        <w:rPr>
          <w:rtl w:val="0"/>
        </w:rPr>
      </w:r>
    </w:p>
    <w:p w:rsidR="00000000" w:rsidDel="00000000" w:rsidP="00000000" w:rsidRDefault="00000000" w:rsidRPr="00000000" w14:paraId="00000015">
      <w:pPr>
        <w:ind w:firstLine="720"/>
        <w:jc w:val="both"/>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Brayton Elementary is a "Community of </w:t>
      </w:r>
      <w:r w:rsidDel="00000000" w:rsidR="00000000" w:rsidRPr="00000000">
        <w:rPr>
          <w:rFonts w:ascii="Calibri" w:cs="Calibri" w:eastAsia="Calibri" w:hAnsi="Calibri"/>
          <w:b w:val="1"/>
          <w:sz w:val="22"/>
          <w:szCs w:val="22"/>
          <w:vertAlign w:val="baseline"/>
          <w:rtl w:val="0"/>
        </w:rPr>
        <w:t xml:space="preserve">Learners" where collaboration, cooperation and partnership among students, families, school and the community are critical and lead to the successful education of every child.  Brayton is a learning environment where expectations allow for creativity and discovery through meaningful life experiences. This is achieved through encouraging the Brayton Habits of Mind: Find Humor; Persist; Think; Question; Create; Listen with understanding and empathy; Manage impulsivity; and Take responsibility. The School Adjustment Counselor, the administrative team, and student support staff play a vital role in implementation of these goals.</w:t>
      </w: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ab/>
        <w:t xml:space="preserve">The School Adjustment Counselor has demonstrated commitment to providing proactive services in support of student academic achievement, personal and social development and creating a safe and trusting school community. Responsive services provided by the School Adjustment Counselor such as crisis intervention and therapeutic individual, family and group counseling are essential to the well-being and academic success of our students. Our counselor has initiated a program that is aligned with the Massachusetts Model for Comprehensive School Counseling. As principal, I support this school and district initiative. An internal calendar has been developed that details the services and programs of the school counseling program. A developmental guidance lesson that is aligned with MA CDE and curriculum Frameworks has been developed and delivered to all 5</w:t>
      </w:r>
      <w:r w:rsidDel="00000000" w:rsidR="00000000" w:rsidRPr="00000000">
        <w:rPr>
          <w:rFonts w:ascii="Calibri" w:cs="Calibri" w:eastAsia="Calibri" w:hAnsi="Calibri"/>
          <w:b w:val="1"/>
          <w:sz w:val="22"/>
          <w:szCs w:val="22"/>
          <w:vertAlign w:val="superscript"/>
          <w:rtl w:val="0"/>
        </w:rPr>
        <w:t xml:space="preserve">th</w:t>
      </w:r>
      <w:r w:rsidDel="00000000" w:rsidR="00000000" w:rsidRPr="00000000">
        <w:rPr>
          <w:rFonts w:ascii="Calibri" w:cs="Calibri" w:eastAsia="Calibri" w:hAnsi="Calibri"/>
          <w:b w:val="1"/>
          <w:sz w:val="22"/>
          <w:szCs w:val="22"/>
          <w:vertAlign w:val="baseline"/>
          <w:rtl w:val="0"/>
        </w:rPr>
        <w:t xml:space="preserve"> graders.</w:t>
      </w:r>
      <w:r w:rsidDel="00000000" w:rsidR="00000000" w:rsidRPr="00000000">
        <w:rPr>
          <w:rtl w:val="0"/>
        </w:rPr>
      </w:r>
    </w:p>
    <w:p w:rsidR="00000000" w:rsidDel="00000000" w:rsidP="00000000" w:rsidRDefault="00000000" w:rsidRPr="00000000" w14:paraId="00000017">
      <w:pPr>
        <w:jc w:val="right"/>
        <w:rPr>
          <w:rFonts w:ascii="Calibri" w:cs="Calibri" w:eastAsia="Calibri" w:hAnsi="Calibri"/>
          <w:b w:val="0"/>
          <w:sz w:val="22"/>
          <w:szCs w:val="22"/>
          <w:vertAlign w:val="baseline"/>
        </w:rPr>
      </w:pPr>
      <w:r w:rsidDel="00000000" w:rsidR="00000000" w:rsidRPr="00000000">
        <w:rPr>
          <w:rFonts w:ascii="Calibri" w:cs="Calibri" w:eastAsia="Calibri" w:hAnsi="Calibri"/>
          <w:b w:val="1"/>
          <w:i w:val="1"/>
          <w:sz w:val="22"/>
          <w:szCs w:val="22"/>
          <w:vertAlign w:val="baseline"/>
          <w:rtl w:val="0"/>
        </w:rPr>
        <w:t xml:space="preserve">Sarah Madden</w:t>
      </w:r>
      <w:r w:rsidDel="00000000" w:rsidR="00000000" w:rsidRPr="00000000">
        <w:rPr>
          <w:rFonts w:ascii="Calibri" w:cs="Calibri" w:eastAsia="Calibri" w:hAnsi="Calibri"/>
          <w:b w:val="1"/>
          <w:sz w:val="22"/>
          <w:szCs w:val="22"/>
          <w:vertAlign w:val="baseline"/>
          <w:rtl w:val="0"/>
        </w:rPr>
        <w:t xml:space="preserve">, Principal</w:t>
      </w:r>
      <w:r w:rsidDel="00000000" w:rsidR="00000000" w:rsidRPr="00000000">
        <w:rPr>
          <w:rtl w:val="0"/>
        </w:rPr>
      </w:r>
    </w:p>
    <w:p w:rsidR="00000000" w:rsidDel="00000000" w:rsidP="00000000" w:rsidRDefault="00000000" w:rsidRPr="00000000" w14:paraId="00000018">
      <w:pPr>
        <w:jc w:val="right"/>
        <w:rPr>
          <w:rFonts w:ascii="Calibri" w:cs="Calibri" w:eastAsia="Calibri" w:hAnsi="Calibri"/>
          <w:sz w:val="21"/>
          <w:szCs w:val="21"/>
          <w:vertAlign w:val="baseline"/>
        </w:rPr>
      </w:pPr>
      <w:r w:rsidDel="00000000" w:rsidR="00000000" w:rsidRPr="00000000">
        <w:rPr>
          <w:rtl w:val="0"/>
        </w:rPr>
      </w:r>
    </w:p>
    <w:p w:rsidR="00000000" w:rsidDel="00000000" w:rsidP="00000000" w:rsidRDefault="00000000" w:rsidRPr="00000000" w14:paraId="00000019">
      <w:pPr>
        <w:pStyle w:val="Heading4"/>
        <w:shd w:fill="00ccff" w:val="clear"/>
        <w:jc w:val="center"/>
        <w:rPr>
          <w:rFonts w:ascii="Times New Roman" w:cs="Times New Roman" w:eastAsia="Times New Roman" w:hAnsi="Times New Roman"/>
          <w:b w:val="0"/>
          <w:color w:val="ffffff"/>
          <w:sz w:val="24"/>
          <w:szCs w:val="24"/>
          <w:vertAlign w:val="baseline"/>
        </w:rPr>
      </w:pPr>
      <w:r w:rsidDel="00000000" w:rsidR="00000000" w:rsidRPr="00000000">
        <w:rPr>
          <w:rFonts w:ascii="Times New Roman" w:cs="Times New Roman" w:eastAsia="Times New Roman" w:hAnsi="Times New Roman"/>
          <w:b w:val="1"/>
          <w:color w:val="ffffff"/>
          <w:sz w:val="24"/>
          <w:szCs w:val="24"/>
          <w:shd w:fill="00ccff" w:val="clear"/>
          <w:vertAlign w:val="baseline"/>
          <w:rtl w:val="0"/>
        </w:rPr>
        <w:t xml:space="preserve">P-12 School Counseling Mission Statement</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School counselors work in partnership with students, parent/guardians, staff and the community to create a safe, respectful and caring environment and to foster the development of each student’s unique and full potential.  This partnership strives to provide a comprehensive program that assists students in acquiring the values, knowledge and skills needed to become effective students, responsible citizens, productive workers and lifelong learners. The school counseling program spans across all grades and addresses academic, career and personal/social needs of all students</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C">
      <w:pPr>
        <w:pStyle w:val="Heading4"/>
        <w:pBdr>
          <w:left w:color="000000" w:space="6" w:sz="4" w:val="single"/>
        </w:pBdr>
        <w:shd w:fill="00ccff" w:val="clear"/>
        <w:jc w:val="center"/>
        <w:rPr>
          <w:rFonts w:ascii="Times New Roman" w:cs="Times New Roman" w:eastAsia="Times New Roman" w:hAnsi="Times New Roman"/>
          <w:b w:val="0"/>
          <w:color w:val="ffffff"/>
          <w:sz w:val="24"/>
          <w:szCs w:val="24"/>
          <w:vertAlign w:val="baseline"/>
        </w:rPr>
      </w:pPr>
      <w:r w:rsidDel="00000000" w:rsidR="00000000" w:rsidRPr="00000000">
        <w:rPr>
          <w:rFonts w:ascii="Times New Roman" w:cs="Times New Roman" w:eastAsia="Times New Roman" w:hAnsi="Times New Roman"/>
          <w:b w:val="1"/>
          <w:color w:val="ffffff"/>
          <w:sz w:val="24"/>
          <w:szCs w:val="24"/>
          <w:shd w:fill="00ccff" w:val="clear"/>
          <w:vertAlign w:val="baseline"/>
          <w:rtl w:val="0"/>
        </w:rPr>
        <w:t xml:space="preserve">Student Results</w:t>
      </w:r>
      <w:r w:rsidDel="00000000" w:rsidR="00000000" w:rsidRPr="00000000">
        <w:rPr>
          <w:rtl w:val="0"/>
        </w:rPr>
      </w:r>
    </w:p>
    <w:p w:rsidR="00000000" w:rsidDel="00000000" w:rsidP="00000000" w:rsidRDefault="00000000" w:rsidRPr="00000000" w14:paraId="0000001D">
      <w:pPr>
        <w:ind w:firstLine="720"/>
        <w:jc w:val="both"/>
        <w:rPr>
          <w:rFonts w:ascii="Calibri" w:cs="Calibri" w:eastAsia="Calibri" w:hAnsi="Calibri"/>
          <w:sz w:val="21"/>
          <w:szCs w:val="21"/>
          <w:vertAlign w:val="baseline"/>
        </w:rPr>
      </w:pPr>
      <w:r w:rsidDel="00000000" w:rsidR="00000000" w:rsidRPr="00000000">
        <w:rPr>
          <w:rtl w:val="0"/>
        </w:rPr>
      </w:r>
    </w:p>
    <w:p w:rsidR="00000000" w:rsidDel="00000000" w:rsidP="00000000" w:rsidRDefault="00000000" w:rsidRPr="00000000" w14:paraId="0000001E">
      <w:pPr>
        <w:ind w:firstLine="720"/>
        <w:jc w:val="both"/>
        <w:rPr>
          <w:rFonts w:ascii="Calibri" w:cs="Calibri" w:eastAsia="Calibri" w:hAnsi="Calibri"/>
          <w:b w:val="0"/>
          <w:sz w:val="21"/>
          <w:szCs w:val="21"/>
          <w:vertAlign w:val="baseline"/>
        </w:rPr>
      </w:pPr>
      <w:r w:rsidDel="00000000" w:rsidR="00000000" w:rsidRPr="00000000">
        <w:rPr>
          <w:rFonts w:ascii="Calibri" w:cs="Calibri" w:eastAsia="Calibri" w:hAnsi="Calibri"/>
          <w:b w:val="1"/>
          <w:sz w:val="21"/>
          <w:szCs w:val="21"/>
          <w:vertAlign w:val="baseline"/>
          <w:rtl w:val="0"/>
        </w:rPr>
        <w:t xml:space="preserve">In line with the School Improvement Plan goals to increase CPI in ELA and Math, a continuum of strategies to increase student attendance and school engagement has been implemented in grades 6 and 7. In addition, the School Adjustment Counselor has identified the goal of sending engaged and intrinsically motivated students to high school; students enter high school in 8</w:t>
      </w:r>
      <w:r w:rsidDel="00000000" w:rsidR="00000000" w:rsidRPr="00000000">
        <w:rPr>
          <w:rFonts w:ascii="Calibri" w:cs="Calibri" w:eastAsia="Calibri" w:hAnsi="Calibri"/>
          <w:b w:val="1"/>
          <w:sz w:val="21"/>
          <w:szCs w:val="21"/>
          <w:vertAlign w:val="superscript"/>
          <w:rtl w:val="0"/>
        </w:rPr>
        <w:t xml:space="preserve">th</w:t>
      </w:r>
      <w:r w:rsidDel="00000000" w:rsidR="00000000" w:rsidRPr="00000000">
        <w:rPr>
          <w:rFonts w:ascii="Calibri" w:cs="Calibri" w:eastAsia="Calibri" w:hAnsi="Calibri"/>
          <w:b w:val="1"/>
          <w:sz w:val="21"/>
          <w:szCs w:val="21"/>
          <w:vertAlign w:val="baseline"/>
          <w:rtl w:val="0"/>
        </w:rPr>
        <w:t xml:space="preserve"> grade in our district.</w:t>
      </w:r>
      <w:r w:rsidDel="00000000" w:rsidR="00000000" w:rsidRPr="00000000">
        <w:rPr>
          <w:rtl w:val="0"/>
        </w:rPr>
      </w:r>
    </w:p>
    <w:p w:rsidR="00000000" w:rsidDel="00000000" w:rsidP="00000000" w:rsidRDefault="00000000" w:rsidRPr="00000000" w14:paraId="0000001F">
      <w:pPr>
        <w:ind w:firstLine="720"/>
        <w:jc w:val="both"/>
        <w:rPr>
          <w:rFonts w:ascii="Calibri" w:cs="Calibri" w:eastAsia="Calibri" w:hAnsi="Calibri"/>
          <w:b w:val="0"/>
          <w:sz w:val="21"/>
          <w:szCs w:val="21"/>
          <w:vertAlign w:val="baseline"/>
        </w:rPr>
      </w:pPr>
      <w:r w:rsidDel="00000000" w:rsidR="00000000" w:rsidRPr="00000000">
        <w:rPr>
          <w:rFonts w:ascii="Calibri" w:cs="Calibri" w:eastAsia="Calibri" w:hAnsi="Calibri"/>
          <w:b w:val="1"/>
          <w:sz w:val="21"/>
          <w:szCs w:val="21"/>
          <w:vertAlign w:val="baseline"/>
          <w:rtl w:val="0"/>
        </w:rPr>
        <w:t xml:space="preserve">Accelerated 7</w:t>
      </w:r>
      <w:r w:rsidDel="00000000" w:rsidR="00000000" w:rsidRPr="00000000">
        <w:rPr>
          <w:rFonts w:ascii="Calibri" w:cs="Calibri" w:eastAsia="Calibri" w:hAnsi="Calibri"/>
          <w:b w:val="1"/>
          <w:sz w:val="21"/>
          <w:szCs w:val="21"/>
          <w:vertAlign w:val="superscript"/>
          <w:rtl w:val="0"/>
        </w:rPr>
        <w:t xml:space="preserve">th</w:t>
      </w:r>
      <w:r w:rsidDel="00000000" w:rsidR="00000000" w:rsidRPr="00000000">
        <w:rPr>
          <w:rFonts w:ascii="Calibri" w:cs="Calibri" w:eastAsia="Calibri" w:hAnsi="Calibri"/>
          <w:b w:val="1"/>
          <w:sz w:val="21"/>
          <w:szCs w:val="21"/>
          <w:vertAlign w:val="baseline"/>
          <w:rtl w:val="0"/>
        </w:rPr>
        <w:t xml:space="preserve"> grade math students (who attend math class at the high school) calculate, chart and maintain attendance data on students in kindergarten through grade 7. Each week, the students display average attendance rates per grade level. The grade with the highest level is announced over the PA system and they earn an extra 15 minutes of outdoor recess that week. Although recess may serve as an external reward, the ongoing focus contributes to the development of the school’s articulated habits of mind. It also leads students to see that school engagement and attendance is valuable. This intervention began during the 2010-11 school year and has continued.</w:t>
      </w:r>
      <w:r w:rsidDel="00000000" w:rsidR="00000000" w:rsidRPr="00000000">
        <w:rPr>
          <w:rtl w:val="0"/>
        </w:rPr>
      </w:r>
    </w:p>
    <w:p w:rsidR="00000000" w:rsidDel="00000000" w:rsidP="00000000" w:rsidRDefault="00000000" w:rsidRPr="00000000" w14:paraId="00000020">
      <w:pPr>
        <w:jc w:val="both"/>
        <w:rPr>
          <w:sz w:val="21"/>
          <w:szCs w:val="21"/>
          <w:vertAlign w:val="baseline"/>
        </w:rPr>
      </w:pPr>
      <w:r w:rsidDel="00000000" w:rsidR="00000000" w:rsidRPr="00000000">
        <w:rPr>
          <w:rtl w:val="0"/>
        </w:rPr>
      </w:r>
    </w:p>
    <w:tbl>
      <w:tblPr>
        <w:tblStyle w:val="Table2"/>
        <w:tblW w:w="45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3"/>
        <w:gridCol w:w="1182"/>
        <w:gridCol w:w="759"/>
        <w:gridCol w:w="1182"/>
        <w:gridCol w:w="759"/>
        <w:tblGridChange w:id="0">
          <w:tblGrid>
            <w:gridCol w:w="683"/>
            <w:gridCol w:w="1182"/>
            <w:gridCol w:w="759"/>
            <w:gridCol w:w="1182"/>
            <w:gridCol w:w="759"/>
          </w:tblGrid>
        </w:tblGridChange>
      </w:tblGrid>
      <w:tr>
        <w:tc>
          <w:tcPr>
            <w:vAlign w:val="top"/>
          </w:tcPr>
          <w:p w:rsidR="00000000" w:rsidDel="00000000" w:rsidP="00000000" w:rsidRDefault="00000000" w:rsidRPr="00000000" w14:paraId="00000021">
            <w:pP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Year</w:t>
            </w:r>
            <w:r w:rsidDel="00000000" w:rsidR="00000000" w:rsidRPr="00000000">
              <w:rPr>
                <w:rtl w:val="0"/>
              </w:rPr>
            </w:r>
          </w:p>
        </w:tc>
        <w:tc>
          <w:tcPr>
            <w:gridSpan w:val="2"/>
            <w:vAlign w:val="top"/>
          </w:tcPr>
          <w:p w:rsidR="00000000" w:rsidDel="00000000" w:rsidP="00000000" w:rsidRDefault="00000000" w:rsidRPr="00000000" w14:paraId="00000022">
            <w:pP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Grade 6</w:t>
            </w:r>
            <w:r w:rsidDel="00000000" w:rsidR="00000000" w:rsidRPr="00000000">
              <w:rPr>
                <w:rtl w:val="0"/>
              </w:rPr>
            </w:r>
          </w:p>
        </w:tc>
        <w:tc>
          <w:tcPr>
            <w:gridSpan w:val="2"/>
            <w:vAlign w:val="top"/>
          </w:tcPr>
          <w:p w:rsidR="00000000" w:rsidDel="00000000" w:rsidP="00000000" w:rsidRDefault="00000000" w:rsidRPr="00000000" w14:paraId="00000024">
            <w:pP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Grade 7</w:t>
            </w:r>
            <w:r w:rsidDel="00000000" w:rsidR="00000000" w:rsidRPr="00000000">
              <w:rPr>
                <w:rtl w:val="0"/>
              </w:rPr>
            </w:r>
          </w:p>
        </w:tc>
      </w:tr>
      <w:tr>
        <w:tc>
          <w:tcPr>
            <w:vAlign w:val="top"/>
          </w:tcPr>
          <w:p w:rsidR="00000000" w:rsidDel="00000000" w:rsidP="00000000" w:rsidRDefault="00000000" w:rsidRPr="00000000" w14:paraId="00000026">
            <w:pPr>
              <w:jc w:val="both"/>
              <w:rPr>
                <w:rFonts w:ascii="Calibri" w:cs="Calibri" w:eastAsia="Calibri" w:hAnsi="Calibri"/>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27">
            <w:pP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Attendance</w:t>
            </w: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Rate</w:t>
            </w:r>
            <w:r w:rsidDel="00000000" w:rsidR="00000000" w:rsidRPr="00000000">
              <w:rPr>
                <w:rtl w:val="0"/>
              </w:rPr>
            </w:r>
          </w:p>
        </w:tc>
        <w:tc>
          <w:tcPr>
            <w:vAlign w:val="top"/>
          </w:tcPr>
          <w:p w:rsidR="00000000" w:rsidDel="00000000" w:rsidP="00000000" w:rsidRDefault="00000000" w:rsidRPr="00000000" w14:paraId="00000029">
            <w:pP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Enroll-</w:t>
            </w: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ment</w:t>
            </w:r>
            <w:r w:rsidDel="00000000" w:rsidR="00000000" w:rsidRPr="00000000">
              <w:rPr>
                <w:rtl w:val="0"/>
              </w:rPr>
            </w:r>
          </w:p>
        </w:tc>
        <w:tc>
          <w:tcPr>
            <w:vAlign w:val="top"/>
          </w:tcPr>
          <w:p w:rsidR="00000000" w:rsidDel="00000000" w:rsidP="00000000" w:rsidRDefault="00000000" w:rsidRPr="00000000" w14:paraId="0000002B">
            <w:pP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Attendance</w:t>
            </w: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Rate</w:t>
            </w:r>
            <w:r w:rsidDel="00000000" w:rsidR="00000000" w:rsidRPr="00000000">
              <w:rPr>
                <w:rtl w:val="0"/>
              </w:rPr>
            </w:r>
          </w:p>
        </w:tc>
        <w:tc>
          <w:tcPr>
            <w:vAlign w:val="top"/>
          </w:tcPr>
          <w:p w:rsidR="00000000" w:rsidDel="00000000" w:rsidP="00000000" w:rsidRDefault="00000000" w:rsidRPr="00000000" w14:paraId="0000002D">
            <w:pP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Enroll-</w:t>
            </w: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ment</w:t>
            </w:r>
            <w:r w:rsidDel="00000000" w:rsidR="00000000" w:rsidRPr="00000000">
              <w:rPr>
                <w:rtl w:val="0"/>
              </w:rPr>
            </w:r>
          </w:p>
        </w:tc>
      </w:tr>
      <w:tr>
        <w:tc>
          <w:tcPr>
            <w:vAlign w:val="top"/>
          </w:tcPr>
          <w:p w:rsidR="00000000" w:rsidDel="00000000" w:rsidP="00000000" w:rsidRDefault="00000000" w:rsidRPr="00000000" w14:paraId="0000002F">
            <w:pP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09-10</w:t>
            </w:r>
            <w:r w:rsidDel="00000000" w:rsidR="00000000" w:rsidRPr="00000000">
              <w:rPr>
                <w:rtl w:val="0"/>
              </w:rPr>
            </w:r>
          </w:p>
        </w:tc>
        <w:tc>
          <w:tcPr>
            <w:vAlign w:val="top"/>
          </w:tcPr>
          <w:p w:rsidR="00000000" w:rsidDel="00000000" w:rsidP="00000000" w:rsidRDefault="00000000" w:rsidRPr="00000000" w14:paraId="00000030">
            <w:pP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97%</w:t>
            </w:r>
            <w:r w:rsidDel="00000000" w:rsidR="00000000" w:rsidRPr="00000000">
              <w:rPr>
                <w:rtl w:val="0"/>
              </w:rPr>
            </w:r>
          </w:p>
        </w:tc>
        <w:tc>
          <w:tcPr>
            <w:vAlign w:val="top"/>
          </w:tcPr>
          <w:p w:rsidR="00000000" w:rsidDel="00000000" w:rsidP="00000000" w:rsidRDefault="00000000" w:rsidRPr="00000000" w14:paraId="00000031">
            <w:pP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40</w:t>
            </w:r>
            <w:r w:rsidDel="00000000" w:rsidR="00000000" w:rsidRPr="00000000">
              <w:rPr>
                <w:rtl w:val="0"/>
              </w:rPr>
            </w:r>
          </w:p>
        </w:tc>
        <w:tc>
          <w:tcPr>
            <w:vAlign w:val="top"/>
          </w:tcPr>
          <w:p w:rsidR="00000000" w:rsidDel="00000000" w:rsidP="00000000" w:rsidRDefault="00000000" w:rsidRPr="00000000" w14:paraId="00000032">
            <w:pP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96%</w:t>
            </w:r>
            <w:r w:rsidDel="00000000" w:rsidR="00000000" w:rsidRPr="00000000">
              <w:rPr>
                <w:rtl w:val="0"/>
              </w:rPr>
            </w:r>
          </w:p>
        </w:tc>
        <w:tc>
          <w:tcPr>
            <w:vAlign w:val="top"/>
          </w:tcPr>
          <w:p w:rsidR="00000000" w:rsidDel="00000000" w:rsidP="00000000" w:rsidRDefault="00000000" w:rsidRPr="00000000" w14:paraId="00000033">
            <w:pP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48</w:t>
            </w:r>
            <w:r w:rsidDel="00000000" w:rsidR="00000000" w:rsidRPr="00000000">
              <w:rPr>
                <w:rtl w:val="0"/>
              </w:rPr>
            </w:r>
          </w:p>
        </w:tc>
      </w:tr>
      <w:tr>
        <w:tc>
          <w:tcPr>
            <w:vAlign w:val="top"/>
          </w:tcPr>
          <w:p w:rsidR="00000000" w:rsidDel="00000000" w:rsidP="00000000" w:rsidRDefault="00000000" w:rsidRPr="00000000" w14:paraId="00000034">
            <w:pP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10-11</w:t>
            </w:r>
            <w:r w:rsidDel="00000000" w:rsidR="00000000" w:rsidRPr="00000000">
              <w:rPr>
                <w:rtl w:val="0"/>
              </w:rPr>
            </w:r>
          </w:p>
        </w:tc>
        <w:tc>
          <w:tcPr>
            <w:vAlign w:val="top"/>
          </w:tcPr>
          <w:p w:rsidR="00000000" w:rsidDel="00000000" w:rsidP="00000000" w:rsidRDefault="00000000" w:rsidRPr="00000000" w14:paraId="00000035">
            <w:pP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96%</w:t>
            </w:r>
            <w:r w:rsidDel="00000000" w:rsidR="00000000" w:rsidRPr="00000000">
              <w:rPr>
                <w:rtl w:val="0"/>
              </w:rPr>
            </w:r>
          </w:p>
        </w:tc>
        <w:tc>
          <w:tcPr>
            <w:vAlign w:val="top"/>
          </w:tcPr>
          <w:p w:rsidR="00000000" w:rsidDel="00000000" w:rsidP="00000000" w:rsidRDefault="00000000" w:rsidRPr="00000000" w14:paraId="00000036">
            <w:pP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46</w:t>
            </w:r>
            <w:r w:rsidDel="00000000" w:rsidR="00000000" w:rsidRPr="00000000">
              <w:rPr>
                <w:rtl w:val="0"/>
              </w:rPr>
            </w:r>
          </w:p>
        </w:tc>
        <w:tc>
          <w:tcPr>
            <w:vAlign w:val="top"/>
          </w:tcPr>
          <w:p w:rsidR="00000000" w:rsidDel="00000000" w:rsidP="00000000" w:rsidRDefault="00000000" w:rsidRPr="00000000" w14:paraId="00000037">
            <w:pP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96%</w:t>
            </w:r>
            <w:r w:rsidDel="00000000" w:rsidR="00000000" w:rsidRPr="00000000">
              <w:rPr>
                <w:rtl w:val="0"/>
              </w:rPr>
            </w:r>
          </w:p>
        </w:tc>
        <w:tc>
          <w:tcPr>
            <w:vAlign w:val="top"/>
          </w:tcPr>
          <w:p w:rsidR="00000000" w:rsidDel="00000000" w:rsidP="00000000" w:rsidRDefault="00000000" w:rsidRPr="00000000" w14:paraId="00000038">
            <w:pP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34</w:t>
            </w:r>
            <w:r w:rsidDel="00000000" w:rsidR="00000000" w:rsidRPr="00000000">
              <w:rPr>
                <w:rtl w:val="0"/>
              </w:rPr>
            </w:r>
          </w:p>
        </w:tc>
      </w:tr>
      <w:tr>
        <w:tc>
          <w:tcPr>
            <w:vAlign w:val="top"/>
          </w:tcPr>
          <w:p w:rsidR="00000000" w:rsidDel="00000000" w:rsidP="00000000" w:rsidRDefault="00000000" w:rsidRPr="00000000" w14:paraId="00000039">
            <w:pP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11-12</w:t>
            </w:r>
            <w:r w:rsidDel="00000000" w:rsidR="00000000" w:rsidRPr="00000000">
              <w:rPr>
                <w:rtl w:val="0"/>
              </w:rPr>
            </w:r>
          </w:p>
        </w:tc>
        <w:tc>
          <w:tcPr>
            <w:vAlign w:val="top"/>
          </w:tcPr>
          <w:p w:rsidR="00000000" w:rsidDel="00000000" w:rsidP="00000000" w:rsidRDefault="00000000" w:rsidRPr="00000000" w14:paraId="0000003A">
            <w:pP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96%</w:t>
            </w:r>
            <w:r w:rsidDel="00000000" w:rsidR="00000000" w:rsidRPr="00000000">
              <w:rPr>
                <w:rtl w:val="0"/>
              </w:rPr>
            </w:r>
          </w:p>
        </w:tc>
        <w:tc>
          <w:tcPr>
            <w:vAlign w:val="top"/>
          </w:tcPr>
          <w:p w:rsidR="00000000" w:rsidDel="00000000" w:rsidP="00000000" w:rsidRDefault="00000000" w:rsidRPr="00000000" w14:paraId="0000003B">
            <w:pP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42</w:t>
            </w:r>
            <w:r w:rsidDel="00000000" w:rsidR="00000000" w:rsidRPr="00000000">
              <w:rPr>
                <w:rtl w:val="0"/>
              </w:rPr>
            </w:r>
          </w:p>
        </w:tc>
        <w:tc>
          <w:tcPr>
            <w:vAlign w:val="top"/>
          </w:tcPr>
          <w:p w:rsidR="00000000" w:rsidDel="00000000" w:rsidP="00000000" w:rsidRDefault="00000000" w:rsidRPr="00000000" w14:paraId="0000003C">
            <w:pP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96%</w:t>
            </w:r>
            <w:r w:rsidDel="00000000" w:rsidR="00000000" w:rsidRPr="00000000">
              <w:rPr>
                <w:rtl w:val="0"/>
              </w:rPr>
            </w:r>
          </w:p>
        </w:tc>
        <w:tc>
          <w:tcPr>
            <w:vAlign w:val="top"/>
          </w:tcPr>
          <w:p w:rsidR="00000000" w:rsidDel="00000000" w:rsidP="00000000" w:rsidRDefault="00000000" w:rsidRPr="00000000" w14:paraId="0000003D">
            <w:pP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45</w:t>
            </w:r>
            <w:r w:rsidDel="00000000" w:rsidR="00000000" w:rsidRPr="00000000">
              <w:rPr>
                <w:rtl w:val="0"/>
              </w:rPr>
            </w:r>
          </w:p>
        </w:tc>
      </w:tr>
      <w:tr>
        <w:tc>
          <w:tcPr>
            <w:vAlign w:val="top"/>
          </w:tcPr>
          <w:p w:rsidR="00000000" w:rsidDel="00000000" w:rsidP="00000000" w:rsidRDefault="00000000" w:rsidRPr="00000000" w14:paraId="0000003E">
            <w:pP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12-13</w:t>
            </w:r>
            <w:r w:rsidDel="00000000" w:rsidR="00000000" w:rsidRPr="00000000">
              <w:rPr>
                <w:rtl w:val="0"/>
              </w:rPr>
            </w:r>
          </w:p>
        </w:tc>
        <w:tc>
          <w:tcPr>
            <w:vAlign w:val="top"/>
          </w:tcPr>
          <w:p w:rsidR="00000000" w:rsidDel="00000000" w:rsidP="00000000" w:rsidRDefault="00000000" w:rsidRPr="00000000" w14:paraId="0000003F">
            <w:pP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96%</w:t>
            </w:r>
            <w:r w:rsidDel="00000000" w:rsidR="00000000" w:rsidRPr="00000000">
              <w:rPr>
                <w:rtl w:val="0"/>
              </w:rPr>
            </w:r>
          </w:p>
        </w:tc>
        <w:tc>
          <w:tcPr>
            <w:vAlign w:val="top"/>
          </w:tcPr>
          <w:p w:rsidR="00000000" w:rsidDel="00000000" w:rsidP="00000000" w:rsidRDefault="00000000" w:rsidRPr="00000000" w14:paraId="00000040">
            <w:pP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38</w:t>
            </w:r>
            <w:r w:rsidDel="00000000" w:rsidR="00000000" w:rsidRPr="00000000">
              <w:rPr>
                <w:rtl w:val="0"/>
              </w:rPr>
            </w:r>
          </w:p>
        </w:tc>
        <w:tc>
          <w:tcPr>
            <w:vAlign w:val="top"/>
          </w:tcPr>
          <w:p w:rsidR="00000000" w:rsidDel="00000000" w:rsidP="00000000" w:rsidRDefault="00000000" w:rsidRPr="00000000" w14:paraId="00000041">
            <w:pP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95%</w:t>
            </w:r>
            <w:r w:rsidDel="00000000" w:rsidR="00000000" w:rsidRPr="00000000">
              <w:rPr>
                <w:rtl w:val="0"/>
              </w:rPr>
            </w:r>
          </w:p>
        </w:tc>
        <w:tc>
          <w:tcPr>
            <w:vAlign w:val="top"/>
          </w:tcPr>
          <w:p w:rsidR="00000000" w:rsidDel="00000000" w:rsidP="00000000" w:rsidRDefault="00000000" w:rsidRPr="00000000" w14:paraId="00000042">
            <w:pP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41</w:t>
            </w:r>
            <w:r w:rsidDel="00000000" w:rsidR="00000000" w:rsidRPr="00000000">
              <w:rPr>
                <w:rtl w:val="0"/>
              </w:rPr>
            </w:r>
          </w:p>
        </w:tc>
      </w:tr>
    </w:tbl>
    <w:p w:rsidR="00000000" w:rsidDel="00000000" w:rsidP="00000000" w:rsidRDefault="00000000" w:rsidRPr="00000000" w14:paraId="00000043">
      <w:pPr>
        <w:ind w:firstLine="720"/>
        <w:jc w:val="both"/>
        <w:rPr>
          <w:rFonts w:ascii="Calibri" w:cs="Calibri" w:eastAsia="Calibri" w:hAnsi="Calibri"/>
          <w:b w:val="0"/>
          <w:sz w:val="21"/>
          <w:szCs w:val="21"/>
          <w:vertAlign w:val="baseline"/>
        </w:rPr>
      </w:pPr>
      <w:r w:rsidDel="00000000" w:rsidR="00000000" w:rsidRPr="00000000">
        <w:rPr>
          <w:rFonts w:ascii="Calibri" w:cs="Calibri" w:eastAsia="Calibri" w:hAnsi="Calibri"/>
          <w:b w:val="1"/>
          <w:sz w:val="21"/>
          <w:szCs w:val="21"/>
          <w:vertAlign w:val="baseline"/>
          <w:rtl w:val="0"/>
        </w:rPr>
        <w:t xml:space="preserve">Despite the interventions, the attendance rate shows no change. Closer inspection of the data indicates the need for targeted interventions with the few students that have high absence rates to improve overall attendance. Several students with significant mental health, family or other personal problems have a large impact on the small number of students enrolled per grade; for each one student absent, the rate changes by approximately 3%.</w:t>
      </w:r>
      <w:r w:rsidDel="00000000" w:rsidR="00000000" w:rsidRPr="00000000">
        <w:rPr>
          <w:rtl w:val="0"/>
        </w:rPr>
      </w:r>
    </w:p>
    <w:p w:rsidR="00000000" w:rsidDel="00000000" w:rsidP="00000000" w:rsidRDefault="00000000" w:rsidRPr="00000000" w14:paraId="00000044">
      <w:pPr>
        <w:ind w:firstLine="720"/>
        <w:jc w:val="both"/>
        <w:rPr>
          <w:rFonts w:ascii="Calibri" w:cs="Calibri" w:eastAsia="Calibri" w:hAnsi="Calibri"/>
          <w:b w:val="0"/>
          <w:sz w:val="21"/>
          <w:szCs w:val="21"/>
          <w:vertAlign w:val="baseline"/>
        </w:rPr>
      </w:pPr>
      <w:r w:rsidDel="00000000" w:rsidR="00000000" w:rsidRPr="00000000">
        <w:rPr>
          <w:rFonts w:ascii="Calibri" w:cs="Calibri" w:eastAsia="Calibri" w:hAnsi="Calibri"/>
          <w:b w:val="1"/>
          <w:sz w:val="21"/>
          <w:szCs w:val="21"/>
          <w:vertAlign w:val="baseline"/>
          <w:rtl w:val="0"/>
        </w:rPr>
        <w:t xml:space="preserve">Research indicates that building strong student-adult relationships is paramount to improving school engagement for middle school students. Initiated the School Adjustment Counselor, a Middle Ground Group program was designed that placed all 6</w:t>
      </w:r>
      <w:r w:rsidDel="00000000" w:rsidR="00000000" w:rsidRPr="00000000">
        <w:rPr>
          <w:rFonts w:ascii="Calibri" w:cs="Calibri" w:eastAsia="Calibri" w:hAnsi="Calibri"/>
          <w:b w:val="1"/>
          <w:sz w:val="21"/>
          <w:szCs w:val="21"/>
          <w:vertAlign w:val="superscript"/>
          <w:rtl w:val="0"/>
        </w:rPr>
        <w:t xml:space="preserve">th</w:t>
      </w:r>
      <w:r w:rsidDel="00000000" w:rsidR="00000000" w:rsidRPr="00000000">
        <w:rPr>
          <w:rFonts w:ascii="Calibri" w:cs="Calibri" w:eastAsia="Calibri" w:hAnsi="Calibri"/>
          <w:b w:val="1"/>
          <w:sz w:val="21"/>
          <w:szCs w:val="21"/>
          <w:vertAlign w:val="baseline"/>
          <w:rtl w:val="0"/>
        </w:rPr>
        <w:t xml:space="preserve"> and 7</w:t>
      </w:r>
      <w:r w:rsidDel="00000000" w:rsidR="00000000" w:rsidRPr="00000000">
        <w:rPr>
          <w:rFonts w:ascii="Calibri" w:cs="Calibri" w:eastAsia="Calibri" w:hAnsi="Calibri"/>
          <w:b w:val="1"/>
          <w:sz w:val="21"/>
          <w:szCs w:val="21"/>
          <w:vertAlign w:val="superscript"/>
          <w:rtl w:val="0"/>
        </w:rPr>
        <w:t xml:space="preserve">th</w:t>
      </w:r>
      <w:r w:rsidDel="00000000" w:rsidR="00000000" w:rsidRPr="00000000">
        <w:rPr>
          <w:rFonts w:ascii="Calibri" w:cs="Calibri" w:eastAsia="Calibri" w:hAnsi="Calibri"/>
          <w:b w:val="1"/>
          <w:sz w:val="21"/>
          <w:szCs w:val="21"/>
          <w:vertAlign w:val="baseline"/>
          <w:rtl w:val="0"/>
        </w:rPr>
        <w:t xml:space="preserve"> grade students in groups of 8 or less with one adult mentor (school faculty or staff) over the course of 6</w:t>
      </w:r>
      <w:r w:rsidDel="00000000" w:rsidR="00000000" w:rsidRPr="00000000">
        <w:rPr>
          <w:rFonts w:ascii="Calibri" w:cs="Calibri" w:eastAsia="Calibri" w:hAnsi="Calibri"/>
          <w:b w:val="1"/>
          <w:sz w:val="21"/>
          <w:szCs w:val="21"/>
          <w:vertAlign w:val="superscript"/>
          <w:rtl w:val="0"/>
        </w:rPr>
        <w:t xml:space="preserve">th</w:t>
      </w:r>
      <w:r w:rsidDel="00000000" w:rsidR="00000000" w:rsidRPr="00000000">
        <w:rPr>
          <w:rFonts w:ascii="Calibri" w:cs="Calibri" w:eastAsia="Calibri" w:hAnsi="Calibri"/>
          <w:b w:val="1"/>
          <w:sz w:val="21"/>
          <w:szCs w:val="21"/>
          <w:vertAlign w:val="baseline"/>
          <w:rtl w:val="0"/>
        </w:rPr>
        <w:t xml:space="preserve"> and 7</w:t>
      </w:r>
      <w:r w:rsidDel="00000000" w:rsidR="00000000" w:rsidRPr="00000000">
        <w:rPr>
          <w:rFonts w:ascii="Calibri" w:cs="Calibri" w:eastAsia="Calibri" w:hAnsi="Calibri"/>
          <w:b w:val="1"/>
          <w:sz w:val="21"/>
          <w:szCs w:val="21"/>
          <w:vertAlign w:val="superscript"/>
          <w:rtl w:val="0"/>
        </w:rPr>
        <w:t xml:space="preserve">th</w:t>
      </w:r>
      <w:r w:rsidDel="00000000" w:rsidR="00000000" w:rsidRPr="00000000">
        <w:rPr>
          <w:rFonts w:ascii="Calibri" w:cs="Calibri" w:eastAsia="Calibri" w:hAnsi="Calibri"/>
          <w:b w:val="1"/>
          <w:sz w:val="21"/>
          <w:szCs w:val="21"/>
          <w:vertAlign w:val="baseline"/>
          <w:rtl w:val="0"/>
        </w:rPr>
        <w:t xml:space="preserve"> grade. Groups meet once weekly and focus on: building community and trust; problem solving; social skills development; broadening students’ experiences and perspectives; and building self-efficacy through community service and civic action. This intervention began during the 10-11 school year and has continued.</w:t>
      </w:r>
      <w:r w:rsidDel="00000000" w:rsidR="00000000" w:rsidRPr="00000000">
        <w:rPr>
          <w:rtl w:val="0"/>
        </w:rPr>
      </w:r>
    </w:p>
    <w:p w:rsidR="00000000" w:rsidDel="00000000" w:rsidP="00000000" w:rsidRDefault="00000000" w:rsidRPr="00000000" w14:paraId="00000045">
      <w:pPr>
        <w:ind w:firstLine="720"/>
        <w:jc w:val="both"/>
        <w:rPr>
          <w:rFonts w:ascii="Calibri" w:cs="Calibri" w:eastAsia="Calibri" w:hAnsi="Calibri"/>
          <w:sz w:val="21"/>
          <w:szCs w:val="21"/>
          <w:vertAlign w:val="baseline"/>
        </w:rPr>
      </w:pPr>
      <w:r w:rsidDel="00000000" w:rsidR="00000000" w:rsidRPr="00000000">
        <w:rPr>
          <w:rFonts w:ascii="Calibri" w:cs="Calibri" w:eastAsia="Calibri" w:hAnsi="Calibri"/>
          <w:b w:val="1"/>
          <w:sz w:val="21"/>
          <w:szCs w:val="21"/>
          <w:vertAlign w:val="baseline"/>
          <w:rtl w:val="0"/>
        </w:rPr>
        <w:t xml:space="preserve">Surveys were administered to students and adult advisors of the middle Ground Groups in June, 2013</w:t>
      </w:r>
      <w:r w:rsidDel="00000000" w:rsidR="00000000" w:rsidRPr="00000000">
        <w:rPr>
          <w:rFonts w:ascii="Calibri" w:cs="Calibri" w:eastAsia="Calibri" w:hAnsi="Calibri"/>
          <w:sz w:val="21"/>
          <w:szCs w:val="21"/>
          <w:vertAlign w:val="baseline"/>
          <w:rtl w:val="0"/>
        </w:rPr>
        <w:t xml:space="preserve">.</w:t>
      </w:r>
    </w:p>
    <w:p w:rsidR="00000000" w:rsidDel="00000000" w:rsidP="00000000" w:rsidRDefault="00000000" w:rsidRPr="00000000" w14:paraId="00000046">
      <w:pPr>
        <w:ind w:firstLine="720"/>
        <w:jc w:val="both"/>
        <w:rPr>
          <w:rFonts w:ascii="Calibri" w:cs="Calibri" w:eastAsia="Calibri" w:hAnsi="Calibri"/>
          <w:sz w:val="21"/>
          <w:szCs w:val="21"/>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3081655" cy="1535430"/>
            <wp:effectExtent b="0" l="0" r="0" t="0"/>
            <wp:docPr id="7"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3081655" cy="153543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ind w:firstLine="720"/>
        <w:jc w:val="both"/>
        <w:rPr>
          <w:rFonts w:ascii="Calibri" w:cs="Calibri" w:eastAsia="Calibri" w:hAnsi="Calibri"/>
          <w:b w:val="0"/>
          <w:sz w:val="21"/>
          <w:szCs w:val="21"/>
          <w:vertAlign w:val="baseline"/>
        </w:rPr>
      </w:pPr>
      <w:r w:rsidDel="00000000" w:rsidR="00000000" w:rsidRPr="00000000">
        <w:rPr>
          <w:rFonts w:ascii="Calibri" w:cs="Calibri" w:eastAsia="Calibri" w:hAnsi="Calibri"/>
          <w:b w:val="1"/>
          <w:sz w:val="21"/>
          <w:szCs w:val="21"/>
          <w:vertAlign w:val="baseline"/>
          <w:rtl w:val="0"/>
        </w:rPr>
        <w:t xml:space="preserve">The data from the surveys indicates that the middle ground groups are having a positive impact on student engagement and school connectedness by improving peer relationships, by involving students in meaningful group activities and by strengthening student-adult bonds. Both student and staff survey respondents indicated that they enjoyed community building, discussion, and community service activities in their groups. At-risk 6</w:t>
      </w:r>
      <w:r w:rsidDel="00000000" w:rsidR="00000000" w:rsidRPr="00000000">
        <w:rPr>
          <w:rFonts w:ascii="Calibri" w:cs="Calibri" w:eastAsia="Calibri" w:hAnsi="Calibri"/>
          <w:b w:val="1"/>
          <w:sz w:val="21"/>
          <w:szCs w:val="21"/>
          <w:vertAlign w:val="superscript"/>
          <w:rtl w:val="0"/>
        </w:rPr>
        <w:t xml:space="preserve">th</w:t>
      </w:r>
      <w:r w:rsidDel="00000000" w:rsidR="00000000" w:rsidRPr="00000000">
        <w:rPr>
          <w:rFonts w:ascii="Calibri" w:cs="Calibri" w:eastAsia="Calibri" w:hAnsi="Calibri"/>
          <w:b w:val="1"/>
          <w:sz w:val="21"/>
          <w:szCs w:val="21"/>
          <w:vertAlign w:val="baseline"/>
          <w:rtl w:val="0"/>
        </w:rPr>
        <w:t xml:space="preserve"> graders show a high rate of comfort with talking with their Middle Ground Advisor.</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Focused lunch groups were instituted that recruited students based on both their needs and their strengths.  These groups provided opportunities for students to develop leadership skills, social skills, problem-solve, serve as positive peer mentors, build positive peer relationships, and perform community service. They identified school-wide issues and named themselves the Anti-Bully Squad and the Stop the Drama group. They began to initiate follow up service projects. Students formed a strong connection with the facilitating School Adjustment Counselor and benefited from positive attention, affirmation, and personal support. Focused lunch groups began 2012-13.</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3185795" cy="1515110"/>
            <wp:effectExtent b="0" l="0" r="0" t="0"/>
            <wp:docPr id="6"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3185795" cy="1515110"/>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pStyle w:val="Heading2"/>
        <w:pBdr>
          <w:left w:color="000000" w:space="3" w:sz="4" w:val="single"/>
        </w:pBdr>
        <w:shd w:fill="00ccff" w:val="clear"/>
        <w:jc w:val="center"/>
        <w:rPr>
          <w:rFonts w:ascii="Times New Roman" w:cs="Times New Roman" w:eastAsia="Times New Roman" w:hAnsi="Times New Roman"/>
          <w:b w:val="0"/>
          <w:color w:val="ffffff"/>
          <w:sz w:val="24"/>
          <w:szCs w:val="24"/>
          <w:vertAlign w:val="baseline"/>
        </w:rPr>
      </w:pPr>
      <w:r w:rsidDel="00000000" w:rsidR="00000000" w:rsidRPr="00000000">
        <w:rPr>
          <w:rFonts w:ascii="Times New Roman" w:cs="Times New Roman" w:eastAsia="Times New Roman" w:hAnsi="Times New Roman"/>
          <w:b w:val="1"/>
          <w:color w:val="ffffff"/>
          <w:sz w:val="24"/>
          <w:szCs w:val="24"/>
          <w:vertAlign w:val="baseline"/>
          <w:rtl w:val="0"/>
        </w:rPr>
        <w:t xml:space="preserve">Focus for Improvement</w:t>
      </w:r>
      <w:r w:rsidDel="00000000" w:rsidR="00000000" w:rsidRPr="00000000">
        <w:rPr>
          <w:rtl w:val="0"/>
        </w:rPr>
      </w:r>
    </w:p>
    <w:p w:rsidR="00000000" w:rsidDel="00000000" w:rsidP="00000000" w:rsidRDefault="00000000" w:rsidRPr="00000000" w14:paraId="0000004C">
      <w:pPr>
        <w:jc w:val="both"/>
        <w:rPr>
          <w:rFonts w:ascii="Calibri" w:cs="Calibri" w:eastAsia="Calibri" w:hAnsi="Calibri"/>
          <w:sz w:val="21"/>
          <w:szCs w:val="21"/>
          <w:vertAlign w:val="baseline"/>
        </w:rPr>
      </w:pPr>
      <w:r w:rsidDel="00000000" w:rsidR="00000000" w:rsidRPr="00000000">
        <w:rPr>
          <w:rFonts w:ascii="Calibri" w:cs="Calibri" w:eastAsia="Calibri" w:hAnsi="Calibri"/>
          <w:sz w:val="21"/>
          <w:szCs w:val="21"/>
          <w:vertAlign w:val="baseline"/>
          <w:rtl w:val="0"/>
        </w:rPr>
        <w:t xml:space="preserve">The School Counseling Program at Brayton Elementary School is targeting the following areas for improvement:</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Implement targeted interventions with students who are chronically absent </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Increase the number of focused lunch groups to serve more students</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Expand career awareness experiences and lessons across additional grades</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Utilize data from staff and student survey to improve effectiveness of middle ground groups</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Analyze results of school bullying survey and develop strategic interventions</w:t>
      </w:r>
    </w:p>
    <w:p w:rsidR="00000000" w:rsidDel="00000000" w:rsidP="00000000" w:rsidRDefault="00000000" w:rsidRPr="00000000" w14:paraId="00000052">
      <w:pPr>
        <w:pStyle w:val="Heading4"/>
        <w:shd w:fill="00ccff" w:val="clear"/>
        <w:jc w:val="center"/>
        <w:rPr>
          <w:rFonts w:ascii="Times New Roman" w:cs="Times New Roman" w:eastAsia="Times New Roman" w:hAnsi="Times New Roman"/>
          <w:b w:val="0"/>
          <w:color w:val="ffffff"/>
          <w:sz w:val="24"/>
          <w:szCs w:val="24"/>
          <w:vertAlign w:val="baseline"/>
        </w:rPr>
      </w:pPr>
      <w:r w:rsidDel="00000000" w:rsidR="00000000" w:rsidRPr="00000000">
        <w:rPr>
          <w:rFonts w:ascii="Times New Roman" w:cs="Times New Roman" w:eastAsia="Times New Roman" w:hAnsi="Times New Roman"/>
          <w:b w:val="1"/>
          <w:color w:val="ffffff"/>
          <w:sz w:val="24"/>
          <w:szCs w:val="24"/>
          <w:shd w:fill="00ccff" w:val="clear"/>
          <w:vertAlign w:val="baseline"/>
          <w:rtl w:val="0"/>
        </w:rPr>
        <w:t xml:space="preserve">Student Support Personnel Team</w:t>
      </w:r>
      <w:r w:rsidDel="00000000" w:rsidR="00000000" w:rsidRPr="00000000">
        <w:rPr>
          <w:rtl w:val="0"/>
        </w:rPr>
      </w:r>
    </w:p>
    <w:p w:rsidR="00000000" w:rsidDel="00000000" w:rsidP="00000000" w:rsidRDefault="00000000" w:rsidRPr="00000000" w14:paraId="00000053">
      <w:pPr>
        <w:ind w:firstLine="720"/>
        <w:jc w:val="both"/>
        <w:rPr>
          <w:rFonts w:ascii="Calibri" w:cs="Calibri" w:eastAsia="Calibri" w:hAnsi="Calibri"/>
          <w:sz w:val="21"/>
          <w:szCs w:val="21"/>
          <w:vertAlign w:val="baseline"/>
        </w:rPr>
      </w:pPr>
      <w:r w:rsidDel="00000000" w:rsidR="00000000" w:rsidRPr="00000000">
        <w:rPr>
          <w:rFonts w:ascii="Calibri" w:cs="Calibri" w:eastAsia="Calibri" w:hAnsi="Calibri"/>
          <w:sz w:val="21"/>
          <w:szCs w:val="21"/>
          <w:vertAlign w:val="baseline"/>
          <w:rtl w:val="0"/>
        </w:rPr>
        <w:t xml:space="preserve">District School Adjustment Counselors meet monthly for case consultation and for systemic planning. The Brayton School Adjustment Counselor meets weekly with the Brayton CORE Team as well as the Transitional (therapeutic) Classroom staff.  The School Adjustment Counselor is responsible for facilitating 504 Accommodation Plans and regularly participates in IEP meetings. </w:t>
      </w:r>
    </w:p>
    <w:p w:rsidR="00000000" w:rsidDel="00000000" w:rsidP="00000000" w:rsidRDefault="00000000" w:rsidRPr="00000000" w14:paraId="00000054">
      <w:pPr>
        <w:ind w:firstLine="720"/>
        <w:jc w:val="both"/>
        <w:rPr>
          <w:rFonts w:ascii="Calibri" w:cs="Calibri" w:eastAsia="Calibri" w:hAnsi="Calibri"/>
          <w:sz w:val="21"/>
          <w:szCs w:val="21"/>
          <w:vertAlign w:val="baseline"/>
        </w:rPr>
      </w:pPr>
      <w:r w:rsidDel="00000000" w:rsidR="00000000" w:rsidRPr="00000000">
        <w:rPr>
          <w:rFonts w:ascii="Calibri" w:cs="Calibri" w:eastAsia="Calibri" w:hAnsi="Calibri"/>
          <w:sz w:val="21"/>
          <w:szCs w:val="21"/>
          <w:vertAlign w:val="baseline"/>
          <w:rtl w:val="0"/>
        </w:rPr>
        <w:t xml:space="preserve">The Brayton School Counseling and Student Support Staff consist of:</w:t>
      </w:r>
    </w:p>
    <w:tbl>
      <w:tblPr>
        <w:tblStyle w:val="Table3"/>
        <w:tblW w:w="52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8"/>
        <w:gridCol w:w="1890"/>
        <w:gridCol w:w="1131"/>
        <w:gridCol w:w="687"/>
        <w:tblGridChange w:id="0">
          <w:tblGrid>
            <w:gridCol w:w="1548"/>
            <w:gridCol w:w="1890"/>
            <w:gridCol w:w="1131"/>
            <w:gridCol w:w="687"/>
          </w:tblGrid>
        </w:tblGridChange>
      </w:tblGrid>
      <w:tr>
        <w:tc>
          <w:tcPr>
            <w:vAlign w:val="top"/>
          </w:tcPr>
          <w:p w:rsidR="00000000" w:rsidDel="00000000" w:rsidP="00000000" w:rsidRDefault="00000000" w:rsidRPr="00000000" w14:paraId="00000055">
            <w:pPr>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Team Member</w:t>
            </w:r>
          </w:p>
        </w:tc>
        <w:tc>
          <w:tcPr>
            <w:vAlign w:val="top"/>
          </w:tcPr>
          <w:p w:rsidR="00000000" w:rsidDel="00000000" w:rsidP="00000000" w:rsidRDefault="00000000" w:rsidRPr="00000000" w14:paraId="00000056">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Position</w:t>
            </w:r>
          </w:p>
        </w:tc>
        <w:tc>
          <w:tcPr>
            <w:vAlign w:val="top"/>
          </w:tcPr>
          <w:p w:rsidR="00000000" w:rsidDel="00000000" w:rsidP="00000000" w:rsidRDefault="00000000" w:rsidRPr="00000000" w14:paraId="00000057">
            <w:pPr>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Degree</w:t>
            </w:r>
          </w:p>
        </w:tc>
        <w:tc>
          <w:tcPr>
            <w:vAlign w:val="top"/>
          </w:tcPr>
          <w:p w:rsidR="00000000" w:rsidDel="00000000" w:rsidP="00000000" w:rsidRDefault="00000000" w:rsidRPr="00000000" w14:paraId="00000058">
            <w:pPr>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Yrs. Exp.</w:t>
            </w:r>
          </w:p>
        </w:tc>
      </w:tr>
      <w:tr>
        <w:tc>
          <w:tcPr>
            <w:vAlign w:val="top"/>
          </w:tcPr>
          <w:p w:rsidR="00000000" w:rsidDel="00000000" w:rsidP="00000000" w:rsidRDefault="00000000" w:rsidRPr="00000000" w14:paraId="00000059">
            <w:pPr>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Sarah Madden</w:t>
            </w:r>
          </w:p>
        </w:tc>
        <w:tc>
          <w:tcPr>
            <w:vAlign w:val="top"/>
          </w:tcPr>
          <w:p w:rsidR="00000000" w:rsidDel="00000000" w:rsidP="00000000" w:rsidRDefault="00000000" w:rsidRPr="00000000" w14:paraId="0000005A">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Principal</w:t>
            </w:r>
          </w:p>
        </w:tc>
        <w:tc>
          <w:tcPr>
            <w:vAlign w:val="top"/>
          </w:tcPr>
          <w:p w:rsidR="00000000" w:rsidDel="00000000" w:rsidP="00000000" w:rsidRDefault="00000000" w:rsidRPr="00000000" w14:paraId="0000005B">
            <w:pPr>
              <w:jc w:val="both"/>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5C">
            <w:pPr>
              <w:jc w:val="both"/>
              <w:rPr>
                <w:rFonts w:ascii="Calibri" w:cs="Calibri" w:eastAsia="Calibri" w:hAnsi="Calibri"/>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5D">
            <w:pPr>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Dan Sherman</w:t>
            </w:r>
          </w:p>
        </w:tc>
        <w:tc>
          <w:tcPr>
            <w:vAlign w:val="top"/>
          </w:tcPr>
          <w:p w:rsidR="00000000" w:rsidDel="00000000" w:rsidP="00000000" w:rsidRDefault="00000000" w:rsidRPr="00000000" w14:paraId="0000005E">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Dean of Students</w:t>
            </w:r>
          </w:p>
        </w:tc>
        <w:tc>
          <w:tcPr>
            <w:vAlign w:val="top"/>
          </w:tcPr>
          <w:p w:rsidR="00000000" w:rsidDel="00000000" w:rsidP="00000000" w:rsidRDefault="00000000" w:rsidRPr="00000000" w14:paraId="0000005F">
            <w:pPr>
              <w:jc w:val="both"/>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60">
            <w:pPr>
              <w:jc w:val="both"/>
              <w:rPr>
                <w:rFonts w:ascii="Calibri" w:cs="Calibri" w:eastAsia="Calibri" w:hAnsi="Calibri"/>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61">
            <w:pPr>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Nancy Gallagher</w:t>
            </w:r>
          </w:p>
        </w:tc>
        <w:tc>
          <w:tcPr>
            <w:vAlign w:val="top"/>
          </w:tcPr>
          <w:p w:rsidR="00000000" w:rsidDel="00000000" w:rsidP="00000000" w:rsidRDefault="00000000" w:rsidRPr="00000000" w14:paraId="00000062">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School Adjustment Counselor (SAC)</w:t>
            </w:r>
          </w:p>
        </w:tc>
        <w:tc>
          <w:tcPr>
            <w:vAlign w:val="top"/>
          </w:tcPr>
          <w:p w:rsidR="00000000" w:rsidDel="00000000" w:rsidP="00000000" w:rsidRDefault="00000000" w:rsidRPr="00000000" w14:paraId="00000063">
            <w:pPr>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MS School Counseling</w:t>
            </w:r>
          </w:p>
        </w:tc>
        <w:tc>
          <w:tcPr>
            <w:vAlign w:val="top"/>
          </w:tcPr>
          <w:p w:rsidR="00000000" w:rsidDel="00000000" w:rsidP="00000000" w:rsidRDefault="00000000" w:rsidRPr="00000000" w14:paraId="00000064">
            <w:pPr>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19</w:t>
            </w:r>
          </w:p>
        </w:tc>
      </w:tr>
      <w:tr>
        <w:tc>
          <w:tcPr>
            <w:vAlign w:val="top"/>
          </w:tcPr>
          <w:p w:rsidR="00000000" w:rsidDel="00000000" w:rsidP="00000000" w:rsidRDefault="00000000" w:rsidRPr="00000000" w14:paraId="00000065">
            <w:pPr>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Anne French</w:t>
            </w:r>
          </w:p>
        </w:tc>
        <w:tc>
          <w:tcPr>
            <w:vAlign w:val="top"/>
          </w:tcPr>
          <w:p w:rsidR="00000000" w:rsidDel="00000000" w:rsidP="00000000" w:rsidRDefault="00000000" w:rsidRPr="00000000" w14:paraId="00000066">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Team Leader for District SAC’s</w:t>
            </w:r>
          </w:p>
        </w:tc>
        <w:tc>
          <w:tcPr>
            <w:vAlign w:val="top"/>
          </w:tcPr>
          <w:p w:rsidR="00000000" w:rsidDel="00000000" w:rsidP="00000000" w:rsidRDefault="00000000" w:rsidRPr="00000000" w14:paraId="00000067">
            <w:pPr>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MA Counseling Psychology</w:t>
            </w:r>
          </w:p>
        </w:tc>
        <w:tc>
          <w:tcPr>
            <w:vAlign w:val="top"/>
          </w:tcPr>
          <w:p w:rsidR="00000000" w:rsidDel="00000000" w:rsidP="00000000" w:rsidRDefault="00000000" w:rsidRPr="00000000" w14:paraId="00000068">
            <w:pPr>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27</w:t>
            </w:r>
          </w:p>
        </w:tc>
      </w:tr>
      <w:tr>
        <w:tc>
          <w:tcPr>
            <w:vAlign w:val="top"/>
          </w:tcPr>
          <w:p w:rsidR="00000000" w:rsidDel="00000000" w:rsidP="00000000" w:rsidRDefault="00000000" w:rsidRPr="00000000" w14:paraId="00000069">
            <w:pPr>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Deborah Alves</w:t>
            </w:r>
          </w:p>
        </w:tc>
        <w:tc>
          <w:tcPr>
            <w:vAlign w:val="top"/>
          </w:tcPr>
          <w:p w:rsidR="00000000" w:rsidDel="00000000" w:rsidP="00000000" w:rsidRDefault="00000000" w:rsidRPr="00000000" w14:paraId="0000006A">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Student Support Center</w:t>
            </w:r>
          </w:p>
        </w:tc>
        <w:tc>
          <w:tcPr>
            <w:vAlign w:val="top"/>
          </w:tcPr>
          <w:p w:rsidR="00000000" w:rsidDel="00000000" w:rsidP="00000000" w:rsidRDefault="00000000" w:rsidRPr="00000000" w14:paraId="0000006B">
            <w:pPr>
              <w:jc w:val="both"/>
              <w:rPr>
                <w:rFonts w:ascii="Calibri" w:cs="Calibri" w:eastAsia="Calibri" w:hAnsi="Calibri"/>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6C">
            <w:pPr>
              <w:jc w:val="both"/>
              <w:rPr>
                <w:rFonts w:ascii="Calibri" w:cs="Calibri" w:eastAsia="Calibri" w:hAnsi="Calibri"/>
                <w:color w:val="ff000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6D">
            <w:pPr>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Christy Ciempa</w:t>
            </w:r>
          </w:p>
        </w:tc>
        <w:tc>
          <w:tcPr>
            <w:vAlign w:val="top"/>
          </w:tcPr>
          <w:p w:rsidR="00000000" w:rsidDel="00000000" w:rsidP="00000000" w:rsidRDefault="00000000" w:rsidRPr="00000000" w14:paraId="0000006E">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Student Support Center</w:t>
            </w:r>
          </w:p>
        </w:tc>
        <w:tc>
          <w:tcPr>
            <w:vAlign w:val="top"/>
          </w:tcPr>
          <w:p w:rsidR="00000000" w:rsidDel="00000000" w:rsidP="00000000" w:rsidRDefault="00000000" w:rsidRPr="00000000" w14:paraId="0000006F">
            <w:pPr>
              <w:jc w:val="both"/>
              <w:rPr>
                <w:rFonts w:ascii="Calibri" w:cs="Calibri" w:eastAsia="Calibri" w:hAnsi="Calibri"/>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70">
            <w:pPr>
              <w:jc w:val="both"/>
              <w:rPr>
                <w:rFonts w:ascii="Calibri" w:cs="Calibri" w:eastAsia="Calibri" w:hAnsi="Calibri"/>
                <w:color w:val="ff0000"/>
                <w:sz w:val="20"/>
                <w:szCs w:val="20"/>
                <w:vertAlign w:val="baseline"/>
              </w:rPr>
            </w:pPr>
            <w:r w:rsidDel="00000000" w:rsidR="00000000" w:rsidRPr="00000000">
              <w:rPr>
                <w:rtl w:val="0"/>
              </w:rPr>
            </w:r>
          </w:p>
        </w:tc>
      </w:tr>
    </w:tbl>
    <w:p w:rsidR="00000000" w:rsidDel="00000000" w:rsidP="00000000" w:rsidRDefault="00000000" w:rsidRPr="00000000" w14:paraId="00000071">
      <w:pPr>
        <w:rPr>
          <w:rFonts w:ascii="Calibri" w:cs="Calibri" w:eastAsia="Calibri" w:hAnsi="Calibri"/>
          <w:sz w:val="22"/>
          <w:szCs w:val="22"/>
          <w:vertAlign w:val="baseline"/>
        </w:rPr>
      </w:pPr>
      <w:r w:rsidDel="00000000" w:rsidR="00000000" w:rsidRPr="00000000">
        <w:rPr>
          <w:rtl w:val="0"/>
        </w:rPr>
      </w:r>
    </w:p>
    <w:sectPr>
      <w:type w:val="continuous"/>
      <w:pgSz w:h="15840" w:w="12240" w:orient="portrait"/>
      <w:pgMar w:bottom="432" w:top="360" w:left="720" w:right="720" w:header="360" w:footer="432"/>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mpact"/>
  <w:font w:name="Georgia"/>
  <w:font w:name="Arial"/>
  <w:font w:name="Times New Roman"/>
  <w:font w:name="Calibri"/>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bril Fatface">
    <w:embedRegular w:fontKey="{00000000-0000-0000-0000-000000000000}" r:id="rId5" w:subsetted="0"/>
  </w:font>
  <w:font w:name="Noto Sans Symbols"/>
  <w:font w:name="Lustria">
    <w:embedRegular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2" name=""/>
              <a:graphic>
                <a:graphicData uri="http://schemas.microsoft.com/office/word/2010/wordprocessingShape">
                  <wps:wsp>
                    <wps:cNvSpPr/>
                    <wps:cNvPr id="3" name="Shape 3"/>
                    <wps:spPr>
                      <a:xfrm rot="-2700000">
                        <a:off x="1316925" y="2974185"/>
                        <a:ext cx="8058150" cy="161163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 name=""/>
              <a:graphic>
                <a:graphicData uri="http://schemas.microsoft.com/office/word/2010/wordprocessingShape">
                  <wps:wsp>
                    <wps:cNvSpPr/>
                    <wps:cNvPr id="2" name="Shape 2"/>
                    <wps:spPr>
                      <a:xfrm rot="-2700000">
                        <a:off x="1316925" y="2974185"/>
                        <a:ext cx="8058150" cy="161163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i w:val="1"/>
      <w:sz w:val="24"/>
      <w:szCs w:val="24"/>
      <w:u w:val="single"/>
      <w:vertAlign w:val="baseline"/>
    </w:rPr>
  </w:style>
  <w:style w:type="paragraph" w:styleId="Heading2">
    <w:name w:val="heading 2"/>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sz w:val="28"/>
      <w:szCs w:val="28"/>
      <w:vertAlign w:val="baseline"/>
    </w:rPr>
  </w:style>
  <w:style w:type="paragraph" w:styleId="Heading3">
    <w:name w:val="heading 3"/>
    <w:basedOn w:val="Normal"/>
    <w:next w:val="Normal"/>
    <w:pPr>
      <w:keepNext w:val="1"/>
    </w:pPr>
    <w:rPr>
      <w:rFonts w:ascii="Lustria" w:cs="Lustria" w:eastAsia="Lustria" w:hAnsi="Lustria"/>
      <w:i w:val="1"/>
      <w:sz w:val="28"/>
      <w:szCs w:val="28"/>
      <w:vertAlign w:val="baseline"/>
    </w:rPr>
  </w:style>
  <w:style w:type="paragraph" w:styleId="Heading4">
    <w:name w:val="heading 4"/>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color w:val="000000"/>
      <w:sz w:val="28"/>
      <w:szCs w:val="28"/>
      <w:highlight w:val="yellow"/>
      <w:vertAlign w:val="baseline"/>
    </w:rPr>
  </w:style>
  <w:style w:type="paragraph" w:styleId="Heading5">
    <w:name w:val="heading 5"/>
    <w:basedOn w:val="Normal"/>
    <w:next w:val="Normal"/>
    <w:pPr>
      <w:keepNext w:val="1"/>
    </w:pPr>
    <w:rPr>
      <w:b w:val="1"/>
      <w:sz w:val="24"/>
      <w:szCs w:val="24"/>
      <w:u w:val="single"/>
      <w:vertAlign w:val="baseline"/>
    </w:rPr>
  </w:style>
  <w:style w:type="paragraph" w:styleId="Heading6">
    <w:name w:val="heading 6"/>
    <w:basedOn w:val="Normal"/>
    <w:next w:val="Normal"/>
    <w:pPr>
      <w:keepNext w:val="1"/>
      <w:tabs>
        <w:tab w:val="left" w:pos="2520"/>
        <w:tab w:val="left" w:pos="5760"/>
      </w:tabs>
      <w:spacing w:after="120" w:lineRule="auto"/>
      <w:jc w:val="both"/>
    </w:pPr>
    <w:rPr>
      <w:b w:val="1"/>
      <w:sz w:val="24"/>
      <w:szCs w:val="24"/>
      <w:vertAlign w:val="baseline"/>
    </w:rPr>
  </w:style>
  <w:style w:type="paragraph" w:styleId="Title">
    <w:name w:val="Title"/>
    <w:basedOn w:val="Normal"/>
    <w:next w:val="Normal"/>
    <w:pPr>
      <w:jc w:val="center"/>
    </w:pPr>
    <w:rPr>
      <w:rFonts w:ascii="Abril Fatface" w:cs="Abril Fatface" w:eastAsia="Abril Fatface" w:hAnsi="Abril Fatface"/>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image" Target="media/image5.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7.jpg"/><Relationship Id="rId7" Type="http://schemas.openxmlformats.org/officeDocument/2006/relationships/image" Target="media/image4.jpg"/><Relationship Id="rId8" Type="http://schemas.openxmlformats.org/officeDocument/2006/relationships/image" Target="media/image6.jpg"/></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AbrilFatface-regular.ttf"/><Relationship Id="rId6" Type="http://schemas.openxmlformats.org/officeDocument/2006/relationships/font" Target="fonts/Lustria-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