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Layout w:type="fixed"/>
        <w:tblLook w:val="0000"/>
      </w:tblPr>
      <w:tblGrid>
        <w:gridCol w:w="2520"/>
        <w:gridCol w:w="8280"/>
        <w:tblGridChange w:id="0">
          <w:tblGrid>
            <w:gridCol w:w="2520"/>
            <w:gridCol w:w="8280"/>
          </w:tblGrid>
        </w:tblGridChange>
      </w:tblGrid>
      <w:tr>
        <w:tc>
          <w:tcPr>
            <w:shd w:fill="auto" w:val="clear"/>
            <w:vAlign w:val="top"/>
          </w:tcPr>
          <w:p w:rsidR="00000000" w:rsidDel="00000000" w:rsidP="00000000" w:rsidRDefault="00000000" w:rsidRPr="00000000" w14:paraId="00000002">
            <w:pPr>
              <w:rPr>
                <w:sz w:val="28"/>
                <w:szCs w:val="2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-816609</wp:posOffset>
                  </wp:positionV>
                  <wp:extent cx="1419225" cy="733425"/>
                  <wp:effectExtent b="0" l="0" r="0" t="0"/>
                  <wp:wrapSquare wrapText="bothSides" distB="0" distT="0" distL="114300" distR="11430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419225" cy="733425"/>
                          </a:xfrm>
                          <a:prstGeom prst="rect"/>
                          <a:ln/>
                        </pic:spPr>
                      </pic:pic>
                    </a:graphicData>
                  </a:graphic>
                </wp:anchor>
              </w:drawing>
            </w:r>
          </w:p>
        </w:tc>
        <w:tc>
          <w:tcPr>
            <w:tcBorders>
              <w:left w:color="000000" w:space="0" w:sz="0" w:val="nil"/>
            </w:tcBorders>
            <w:shd w:fill="339966" w:val="clear"/>
            <w:vAlign w:val="top"/>
          </w:tcPr>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jc w:val="center"/>
              <w:rPr>
                <w:rFonts w:ascii="Corsiva" w:cs="Corsiva" w:eastAsia="Corsiva" w:hAnsi="Corsiva"/>
                <w:b w:val="0"/>
                <w:color w:val="ffffff"/>
                <w:sz w:val="48"/>
                <w:szCs w:val="48"/>
                <w:vertAlign w:val="baseline"/>
              </w:rPr>
            </w:pPr>
            <w:r w:rsidDel="00000000" w:rsidR="00000000" w:rsidRPr="00000000">
              <w:rPr>
                <w:rFonts w:ascii="Corsiva" w:cs="Corsiva" w:eastAsia="Corsiva" w:hAnsi="Corsiva"/>
                <w:b w:val="1"/>
                <w:color w:val="ffffff"/>
                <w:sz w:val="48"/>
                <w:szCs w:val="48"/>
                <w:vertAlign w:val="baseline"/>
                <w:rtl w:val="0"/>
              </w:rPr>
              <w:t xml:space="preserve">Massachusetts Accountability Report Card</w:t>
            </w:r>
            <w:r w:rsidDel="00000000" w:rsidR="00000000" w:rsidRPr="00000000">
              <w:rPr>
                <w:rtl w:val="0"/>
              </w:rPr>
            </w:r>
          </w:p>
          <w:p w:rsidR="00000000" w:rsidDel="00000000" w:rsidP="00000000" w:rsidRDefault="00000000" w:rsidRPr="00000000" w14:paraId="00000005">
            <w:pPr>
              <w:jc w:val="center"/>
              <w:rPr>
                <w:i w:val="0"/>
                <w:color w:val="ffffff"/>
                <w:sz w:val="28"/>
                <w:szCs w:val="28"/>
                <w:vertAlign w:val="baseline"/>
              </w:rPr>
            </w:pPr>
            <w:r w:rsidDel="00000000" w:rsidR="00000000" w:rsidRPr="00000000">
              <w:rPr>
                <w:i w:val="1"/>
                <w:color w:val="ffffff"/>
                <w:sz w:val="28"/>
                <w:szCs w:val="28"/>
                <w:vertAlign w:val="baseline"/>
                <w:rtl w:val="0"/>
              </w:rPr>
              <w:t xml:space="preserve">A continuous improvement document for school counseling outcomes</w:t>
            </w:r>
            <w:r w:rsidDel="00000000" w:rsidR="00000000" w:rsidRPr="00000000">
              <w:rPr>
                <w:rtl w:val="0"/>
              </w:rPr>
            </w:r>
          </w:p>
          <w:p w:rsidR="00000000" w:rsidDel="00000000" w:rsidP="00000000" w:rsidRDefault="00000000" w:rsidRPr="00000000" w14:paraId="00000006">
            <w:pPr>
              <w:jc w:val="center"/>
              <w:rPr>
                <w:rFonts w:ascii="Corsiva" w:cs="Corsiva" w:eastAsia="Corsiva" w:hAnsi="Corsiva"/>
                <w:b w:val="0"/>
                <w:i w:val="0"/>
                <w:color w:val="ffffff"/>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M.A.R.C. Jr.</w:t>
            </w:r>
            <w:r w:rsidDel="00000000" w:rsidR="00000000" w:rsidRPr="00000000">
              <w:rPr>
                <w:rtl w:val="0"/>
              </w:rPr>
            </w:r>
          </w:p>
          <w:p w:rsidR="00000000" w:rsidDel="00000000" w:rsidP="00000000" w:rsidRDefault="00000000" w:rsidRPr="00000000" w14:paraId="00000007">
            <w:pPr>
              <w:jc w:val="center"/>
              <w:rPr>
                <w:rFonts w:ascii="Corsiva" w:cs="Corsiva" w:eastAsia="Corsiva" w:hAnsi="Corsiva"/>
                <w:b w:val="0"/>
                <w:i w:val="0"/>
                <w:sz w:val="44"/>
                <w:szCs w:val="44"/>
                <w:vertAlign w:val="baseline"/>
              </w:rPr>
            </w:pPr>
            <w:r w:rsidDel="00000000" w:rsidR="00000000" w:rsidRPr="00000000">
              <w:rPr>
                <w:rFonts w:ascii="Corsiva" w:cs="Corsiva" w:eastAsia="Corsiva" w:hAnsi="Corsiva"/>
                <w:b w:val="1"/>
                <w:i w:val="1"/>
                <w:color w:val="ffffff"/>
                <w:sz w:val="44"/>
                <w:szCs w:val="44"/>
                <w:vertAlign w:val="baseline"/>
                <w:rtl w:val="0"/>
              </w:rPr>
              <w:t xml:space="preserve">2011-2012 School Year</w:t>
            </w:r>
            <w:r w:rsidDel="00000000" w:rsidR="00000000" w:rsidRPr="00000000">
              <w:rPr>
                <w:rtl w:val="0"/>
              </w:rPr>
            </w:r>
          </w:p>
        </w:tc>
      </w:tr>
      <w:tr>
        <w:trPr>
          <w:trHeight w:val="1790" w:hRule="atLeast"/>
        </w:trPr>
        <w:tc>
          <w:tcPr>
            <w:tcBorders>
              <w:bottom w:color="000000" w:space="0" w:sz="24" w:val="single"/>
            </w:tcBorders>
            <w:vAlign w:val="top"/>
          </w:tcPr>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b w:val="0"/>
                <w:i w:val="0"/>
                <w:sz w:val="28"/>
                <w:szCs w:val="28"/>
                <w:vertAlign w:val="baseline"/>
              </w:rPr>
            </w:pPr>
            <w:r w:rsidDel="00000000" w:rsidR="00000000" w:rsidRPr="00000000">
              <w:rPr>
                <w:b w:val="1"/>
                <w:i w:val="1"/>
                <w:sz w:val="28"/>
                <w:szCs w:val="28"/>
                <w:vertAlign w:val="baseline"/>
              </w:rPr>
              <w:drawing>
                <wp:inline distB="0" distT="0" distL="114300" distR="114300">
                  <wp:extent cx="1419860" cy="1304925"/>
                  <wp:effectExtent b="0" l="0" r="0" t="0"/>
                  <wp:docPr id="5"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1419860" cy="1304925"/>
                          </a:xfrm>
                          <a:prstGeom prst="rect"/>
                          <a:ln/>
                        </pic:spPr>
                      </pic:pic>
                    </a:graphicData>
                  </a:graphic>
                </wp:inline>
              </w:drawing>
            </w:r>
            <w:r w:rsidDel="00000000" w:rsidR="00000000" w:rsidRPr="00000000">
              <w:rPr>
                <w:rtl w:val="0"/>
              </w:rPr>
            </w:r>
          </w:p>
        </w:tc>
        <w:tc>
          <w:tcPr>
            <w:tcBorders>
              <w:bottom w:color="000000" w:space="0" w:sz="24" w:val="single"/>
            </w:tcBorders>
            <w:vAlign w:val="top"/>
          </w:tcPr>
          <w:p w:rsidR="00000000" w:rsidDel="00000000" w:rsidP="00000000" w:rsidRDefault="00000000" w:rsidRPr="00000000" w14:paraId="0000000A">
            <w:pPr>
              <w:pStyle w:val="Heading3"/>
              <w:jc w:val="center"/>
              <w:rPr>
                <w:rFonts w:ascii="Times New Roman" w:cs="Times New Roman" w:eastAsia="Times New Roman" w:hAnsi="Times New Roman"/>
                <w:b w:val="0"/>
                <w:i w:val="0"/>
                <w:sz w:val="32"/>
                <w:szCs w:val="32"/>
                <w:vertAlign w:val="baseline"/>
              </w:rPr>
            </w:pPr>
            <w:r w:rsidDel="00000000" w:rsidR="00000000" w:rsidRPr="00000000">
              <w:rPr>
                <w:rFonts w:ascii="Times New Roman" w:cs="Times New Roman" w:eastAsia="Times New Roman" w:hAnsi="Times New Roman"/>
                <w:b w:val="1"/>
                <w:i w:val="0"/>
                <w:sz w:val="32"/>
                <w:szCs w:val="32"/>
                <w:vertAlign w:val="baseline"/>
                <w:rtl w:val="0"/>
              </w:rPr>
              <w:t xml:space="preserve">Ashland High School</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 East Union St. Ashland, MA 01721</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 508-881-0177  Fx: 508-881-0186</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http://ahs.ashland.k12.ma.us</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F">
            <w:pPr>
              <w:jc w:val="center"/>
              <w:rPr>
                <w:b w:val="0"/>
                <w:vertAlign w:val="baseline"/>
              </w:rPr>
            </w:pPr>
            <w:r w:rsidDel="00000000" w:rsidR="00000000" w:rsidRPr="00000000">
              <w:rPr>
                <w:b w:val="1"/>
                <w:vertAlign w:val="baseline"/>
                <w:rtl w:val="0"/>
              </w:rPr>
              <w:t xml:space="preserve">DISTRICT: Ashland Public Schools</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GRADE LEVELS</w:t>
            </w:r>
            <w:r w:rsidDel="00000000" w:rsidR="00000000" w:rsidRPr="00000000">
              <w:rPr>
                <w:vertAlign w:val="baseline"/>
                <w:rtl w:val="0"/>
              </w:rPr>
              <w:t xml:space="preserve">: 9-12                                    </w:t>
            </w:r>
            <w:r w:rsidDel="00000000" w:rsidR="00000000" w:rsidRPr="00000000">
              <w:rPr>
                <w:b w:val="1"/>
                <w:vertAlign w:val="baseline"/>
                <w:rtl w:val="0"/>
              </w:rPr>
              <w:t xml:space="preserve">       ENROLLMENT</w:t>
            </w:r>
            <w:r w:rsidDel="00000000" w:rsidR="00000000" w:rsidRPr="00000000">
              <w:rPr>
                <w:vertAlign w:val="baseline"/>
                <w:rtl w:val="0"/>
              </w:rPr>
              <w:t xml:space="preserve">:  718</w:t>
            </w:r>
          </w:p>
          <w:p w:rsidR="00000000" w:rsidDel="00000000" w:rsidP="00000000" w:rsidRDefault="00000000" w:rsidRPr="00000000" w14:paraId="00000011">
            <w:pPr>
              <w:rPr>
                <w:vertAlign w:val="baseline"/>
              </w:rPr>
            </w:pPr>
            <w:r w:rsidDel="00000000" w:rsidR="00000000" w:rsidRPr="00000000">
              <w:rPr>
                <w:b w:val="1"/>
                <w:vertAlign w:val="baseline"/>
                <w:rtl w:val="0"/>
              </w:rPr>
              <w:t xml:space="preserve">PRINCIPAL</w:t>
            </w:r>
            <w:r w:rsidDel="00000000" w:rsidR="00000000" w:rsidRPr="00000000">
              <w:rPr>
                <w:vertAlign w:val="baseline"/>
                <w:rtl w:val="0"/>
              </w:rPr>
              <w:t xml:space="preserve">:  James E Adams</w:t>
            </w:r>
            <w:r w:rsidDel="00000000" w:rsidR="00000000" w:rsidRPr="00000000">
              <w:rPr>
                <w:b w:val="1"/>
                <w:vertAlign w:val="baseline"/>
                <w:rtl w:val="0"/>
              </w:rPr>
              <w:t xml:space="preserve">                                 SCHOOL YEAR</w:t>
            </w:r>
            <w:r w:rsidDel="00000000" w:rsidR="00000000" w:rsidRPr="00000000">
              <w:rPr>
                <w:vertAlign w:val="baseline"/>
                <w:rtl w:val="0"/>
              </w:rPr>
              <w:t xml:space="preserve">:  Traditional</w:t>
            </w:r>
          </w:p>
        </w:tc>
      </w:tr>
    </w:tbl>
    <w:p w:rsidR="00000000" w:rsidDel="00000000" w:rsidP="00000000" w:rsidRDefault="00000000" w:rsidRPr="00000000" w14:paraId="00000012">
      <w:pPr>
        <w:pStyle w:val="Heading4"/>
        <w:pBdr>
          <w:top w:color="000000" w:space="0" w:sz="0" w:val="none"/>
          <w:left w:color="000000" w:space="0" w:sz="0" w:val="none"/>
          <w:bottom w:color="000000" w:space="0" w:sz="0" w:val="none"/>
          <w:right w:color="000000" w:space="0" w:sz="0" w:val="none"/>
        </w:pBdr>
        <w:shd w:fill="auto" w:val="clea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13">
      <w:pPr>
        <w:rPr>
          <w:vertAlign w:val="baseline"/>
        </w:rPr>
        <w:sectPr>
          <w:headerReference r:id="rId9" w:type="default"/>
          <w:headerReference r:id="rId10" w:type="first"/>
          <w:headerReference r:id="rId11" w:type="even"/>
          <w:pgSz w:h="15840" w:w="12240" w:orient="portrait"/>
          <w:pgMar w:bottom="432" w:top="360" w:left="720" w:right="720" w:header="360" w:footer="432"/>
          <w:pgNumType w:start="1"/>
        </w:sectPr>
      </w:pPr>
      <w:r w:rsidDel="00000000" w:rsidR="00000000" w:rsidRPr="00000000">
        <w:rPr>
          <w:rtl w:val="0"/>
        </w:rPr>
      </w:r>
    </w:p>
    <w:p w:rsidR="00000000" w:rsidDel="00000000" w:rsidP="00000000" w:rsidRDefault="00000000" w:rsidRPr="00000000" w14:paraId="00000014">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Principal’s Comments</w:t>
      </w:r>
      <w:r w:rsidDel="00000000" w:rsidR="00000000" w:rsidRPr="00000000">
        <w:rPr>
          <w:rtl w:val="0"/>
        </w:rPr>
      </w:r>
    </w:p>
    <w:p w:rsidR="00000000" w:rsidDel="00000000" w:rsidP="00000000" w:rsidRDefault="00000000" w:rsidRPr="00000000" w14:paraId="00000015">
      <w:pPr>
        <w:rPr>
          <w:sz w:val="20"/>
          <w:szCs w:val="20"/>
          <w:vertAlign w:val="baseline"/>
        </w:rPr>
      </w:pPr>
      <w:r w:rsidDel="00000000" w:rsidR="00000000" w:rsidRPr="00000000">
        <w:rPr>
          <w:rtl w:val="0"/>
        </w:rPr>
      </w:r>
    </w:p>
    <w:p w:rsidR="00000000" w:rsidDel="00000000" w:rsidP="00000000" w:rsidRDefault="00000000" w:rsidRPr="00000000" w14:paraId="00000016">
      <w:pPr>
        <w:rPr>
          <w:b w:val="0"/>
          <w:sz w:val="22"/>
          <w:szCs w:val="22"/>
          <w:vertAlign w:val="baseline"/>
        </w:rPr>
      </w:pPr>
      <w:r w:rsidDel="00000000" w:rsidR="00000000" w:rsidRPr="00000000">
        <w:rPr>
          <w:b w:val="1"/>
          <w:sz w:val="22"/>
          <w:szCs w:val="22"/>
          <w:vertAlign w:val="baseline"/>
          <w:rtl w:val="0"/>
        </w:rPr>
        <w:t xml:space="preserve">Principal’s Statement</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Ashland High School is committed to the academic and social development of all students. Essential to this is a comprehensive dynamic counseling program that focuses on student personal, social, academic and career development that aligns with the Massachusetts School Counseling Model.  Through grade level seminars, evening programs for the community and individual work with students, school counselors are a dynamic component of our school community.  This Massachusetts Accountability Report Card (MARC Jr.) is an example of the modern use of data to validate and use as a measure of improving counseling services to all students at AHS.</w:t>
      </w:r>
    </w:p>
    <w:p w:rsidR="00000000" w:rsidDel="00000000" w:rsidP="00000000" w:rsidRDefault="00000000" w:rsidRPr="00000000" w14:paraId="00000019">
      <w:pPr>
        <w:rPr>
          <w:b w:val="0"/>
          <w:sz w:val="20"/>
          <w:szCs w:val="20"/>
          <w:vertAlign w:val="baseline"/>
        </w:rPr>
      </w:pPr>
      <w:r w:rsidDel="00000000" w:rsidR="00000000" w:rsidRPr="00000000">
        <w:rPr>
          <w:rtl w:val="0"/>
        </w:rPr>
      </w:r>
    </w:p>
    <w:p w:rsidR="00000000" w:rsidDel="00000000" w:rsidP="00000000" w:rsidRDefault="00000000" w:rsidRPr="00000000" w14:paraId="0000001A">
      <w:pPr>
        <w:rPr>
          <w:rFonts w:ascii="Script MT Bold" w:cs="Script MT Bold" w:eastAsia="Script MT Bold" w:hAnsi="Script MT Bold"/>
          <w:b w:val="0"/>
          <w:sz w:val="22"/>
          <w:szCs w:val="22"/>
          <w:vertAlign w:val="baseline"/>
        </w:rPr>
      </w:pPr>
      <w:r w:rsidDel="00000000" w:rsidR="00000000" w:rsidRPr="00000000">
        <w:rPr>
          <w:rFonts w:ascii="Script MT Bold" w:cs="Script MT Bold" w:eastAsia="Script MT Bold" w:hAnsi="Script MT Bold"/>
          <w:b w:val="1"/>
          <w:sz w:val="22"/>
          <w:szCs w:val="22"/>
          <w:vertAlign w:val="baseline"/>
          <w:rtl w:val="0"/>
        </w:rPr>
        <w:t xml:space="preserve">James E. Adams</w:t>
      </w:r>
      <w:r w:rsidDel="00000000" w:rsidR="00000000" w:rsidRPr="00000000">
        <w:rPr>
          <w:rtl w:val="0"/>
        </w:rPr>
      </w:r>
    </w:p>
    <w:p w:rsidR="00000000" w:rsidDel="00000000" w:rsidP="00000000" w:rsidRDefault="00000000" w:rsidRPr="00000000" w14:paraId="0000001B">
      <w:pPr>
        <w:rPr>
          <w:sz w:val="22"/>
          <w:szCs w:val="22"/>
          <w:vertAlign w:val="baseline"/>
        </w:rPr>
      </w:pPr>
      <w:r w:rsidDel="00000000" w:rsidR="00000000" w:rsidRPr="00000000">
        <w:rPr>
          <w:sz w:val="22"/>
          <w:szCs w:val="22"/>
          <w:vertAlign w:val="baseline"/>
          <w:rtl w:val="0"/>
        </w:rPr>
        <w:t xml:space="preserve">Principal</w:t>
      </w:r>
    </w:p>
    <w:p w:rsidR="00000000" w:rsidDel="00000000" w:rsidP="00000000" w:rsidRDefault="00000000" w:rsidRPr="00000000" w14:paraId="0000001C">
      <w:pPr>
        <w:rPr>
          <w:sz w:val="22"/>
          <w:szCs w:val="22"/>
          <w:vertAlign w:val="baseline"/>
        </w:rPr>
      </w:pPr>
      <w:r w:rsidDel="00000000" w:rsidR="00000000" w:rsidRPr="00000000">
        <w:rPr>
          <w:rtl w:val="0"/>
        </w:rPr>
      </w:r>
    </w:p>
    <w:p w:rsidR="00000000" w:rsidDel="00000000" w:rsidP="00000000" w:rsidRDefault="00000000" w:rsidRPr="00000000" w14:paraId="0000001D">
      <w:pPr>
        <w:pStyle w:val="Heading4"/>
        <w:pBdr>
          <w:left w:color="000000" w:space="6"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Results</w:t>
      </w:r>
      <w:r w:rsidDel="00000000" w:rsidR="00000000" w:rsidRPr="00000000">
        <w:rPr>
          <w:rtl w:val="0"/>
        </w:rPr>
      </w:r>
    </w:p>
    <w:p w:rsidR="00000000" w:rsidDel="00000000" w:rsidP="00000000" w:rsidRDefault="00000000" w:rsidRPr="00000000" w14:paraId="0000001E">
      <w:pPr>
        <w:rPr>
          <w:sz w:val="16"/>
          <w:szCs w:val="16"/>
          <w:vertAlign w:val="baseline"/>
        </w:rPr>
      </w:pPr>
      <w:r w:rsidDel="00000000" w:rsidR="00000000" w:rsidRPr="00000000">
        <w:rPr>
          <w:rtl w:val="0"/>
        </w:rPr>
      </w:r>
    </w:p>
    <w:p w:rsidR="00000000" w:rsidDel="00000000" w:rsidP="00000000" w:rsidRDefault="00000000" w:rsidRPr="00000000" w14:paraId="0000001F">
      <w:pPr>
        <w:jc w:val="both"/>
        <w:rPr>
          <w:sz w:val="20"/>
          <w:szCs w:val="20"/>
          <w:vertAlign w:val="baseline"/>
        </w:rPr>
      </w:pPr>
      <w:r w:rsidDel="00000000" w:rsidR="00000000" w:rsidRPr="00000000">
        <w:rPr>
          <w:sz w:val="20"/>
          <w:szCs w:val="20"/>
          <w:vertAlign w:val="baseline"/>
          <w:rtl w:val="0"/>
        </w:rPr>
        <w:t xml:space="preserve">Five years ago, the AHS Guidance Department and administration saw an immediate need to implement freshman, sophomore, and junior guidance seminars in order to increase college and career readiness among all students, and to better align the counseling program with the Massachusetts CDE Benchmarks.  These guidance seminars allowed students to access a school counselor in a classroom setting four to five times during the year to receive a structured, standards-based guidance curriculum.  All lessons are aligned to ASCA and MASCA Performance Standards, MA Curriculum Frameworks, and MA CDE Benchmarks.  Freshman guidance seminars focused on orienting students to AHS, creating an understanding of self-awareness, building a 4-year plan for high school, and ultimately increasing college and career readiness. In order for the effectiveness of the seminars to be studied and the lessons themselves improved upon, pre- and post-tests were administered.  Post-test results indicate a significant increase in knowledge.  For the freshman seminars, most notable increases as measured in the graph below show that 92% of AHS freshman know the role of the guidance counselor (Q1, 22% increase), 80% have a 4-year plan for high school (Q6, 27% increase), 80% know what a GPA is (Q7, 15% increase), 98% have a Naviance account set up (Q8, 96% increase), 92% understand how Naviance can help them explore career options (Q9, 82% increase), and 86% know what is required for graduation (Q10, 14% increase).</w:t>
      </w:r>
    </w:p>
    <w:p w:rsidR="00000000" w:rsidDel="00000000" w:rsidP="00000000" w:rsidRDefault="00000000" w:rsidRPr="00000000" w14:paraId="00000020">
      <w:pPr>
        <w:jc w:val="both"/>
        <w:rPr>
          <w:sz w:val="16"/>
          <w:szCs w:val="16"/>
          <w:vertAlign w:val="baseline"/>
        </w:rPr>
      </w:pP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vertAlign w:val="baseline"/>
        </w:rPr>
        <w:drawing>
          <wp:inline distB="0" distT="0" distL="114300" distR="114300">
            <wp:extent cx="3431540" cy="2379345"/>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431540" cy="237934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jc w:val="both"/>
        <w:rPr>
          <w:sz w:val="16"/>
          <w:szCs w:val="16"/>
          <w:vertAlign w:val="baseline"/>
        </w:rPr>
      </w:pPr>
      <w:r w:rsidDel="00000000" w:rsidR="00000000" w:rsidRPr="00000000">
        <w:rPr>
          <w:rtl w:val="0"/>
        </w:rPr>
      </w:r>
    </w:p>
    <w:p w:rsidR="00000000" w:rsidDel="00000000" w:rsidP="00000000" w:rsidRDefault="00000000" w:rsidRPr="00000000" w14:paraId="00000023">
      <w:pPr>
        <w:jc w:val="both"/>
        <w:rPr>
          <w:sz w:val="20"/>
          <w:szCs w:val="20"/>
          <w:vertAlign w:val="baseline"/>
        </w:rPr>
      </w:pPr>
      <w:r w:rsidDel="00000000" w:rsidR="00000000" w:rsidRPr="00000000">
        <w:rPr>
          <w:sz w:val="20"/>
          <w:szCs w:val="20"/>
          <w:vertAlign w:val="baseline"/>
          <w:rtl w:val="0"/>
        </w:rPr>
        <w:t xml:space="preserve">Sophomore guidance seminars focused on career exploration, goal setting, resume building, understanding standardized tests, and beginning the college search process.  Again, post-test results indicate a significant increase in knowledge.  Most notable increases as measured in the graph below show that 68% of students know the difference between the SAT and ACT (Q9, 41% increase), 62% of students know how to identify colleges by specific college majors (Q7, 35% increase), 77% of students can relate occupations to specific college majors (Q6, 29% increase), and 85% of students know how to identify different occupations that share things in common (Q3, 22% increase).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427095" cy="2296160"/>
            <wp:effectExtent b="0" l="0" r="0" t="0"/>
            <wp:docPr id="7"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3427095" cy="229616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Lastly, junior guidance seminars focused heavily on the college search process and post-secondary planning. For junior seminars, unlike freshman and sophomore, juniors were placed in seminar classes with their own assigned school counselor. Seminars focused on understanding standardized test scores and next steps, post-secondary educational pathways and admissions standards, the admissions process, and how to research colleges effectively. Students also met individually with their counselor for a “junior interview” to solidify their post-secondary plans. As with the freshmen and sophomore seminars, post-test results indicate a significant increase in knowledge.  Most notable increases as measured in the graph below show that 88% of students know the admissions requirements for UMass and Massachusetts State Universities (Q3, 63% increase), 100% of students understand and know how to use the college search function of Naviance (Q8, 37% increase), and 97% of students have an initial list of colleges they are considering (Q9, 44% increase).  It is notable that over 90% of students answered affirmatively on 8 out of 10 post-test questions.  It should also be noted that while only 67% of students marked that they have individually met with their counselor to discuss post-secondary plans, in some occasions the post-test was given after the last seminar class but before the one-on-one meetings, explaining the negative skew in the data.  By the end of the year all junior students will have met one-on-one with their counselor to discuss their plans after high school.</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ff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431540" cy="2378710"/>
            <wp:effectExtent b="0" l="0" r="0" t="0"/>
            <wp:docPr id="6"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3431540" cy="237871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pStyle w:val="Heading2"/>
        <w:pBdr>
          <w:left w:color="000000" w:space="3" w:sz="4" w:val="single"/>
        </w:pBdr>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vertAlign w:val="baseline"/>
          <w:rtl w:val="0"/>
        </w:rPr>
        <w:t xml:space="preserve">Focus for Improvement</w:t>
      </w:r>
      <w:r w:rsidDel="00000000" w:rsidR="00000000" w:rsidRPr="00000000">
        <w:rPr>
          <w:rtl w:val="0"/>
        </w:rPr>
      </w:r>
    </w:p>
    <w:p w:rsidR="00000000" w:rsidDel="00000000" w:rsidP="00000000" w:rsidRDefault="00000000" w:rsidRPr="00000000" w14:paraId="0000002F">
      <w:pPr>
        <w:jc w:val="both"/>
        <w:rPr>
          <w:sz w:val="16"/>
          <w:szCs w:val="16"/>
          <w:vertAlign w:val="baseline"/>
        </w:rPr>
      </w:pPr>
      <w:r w:rsidDel="00000000" w:rsidR="00000000" w:rsidRPr="00000000">
        <w:rPr>
          <w:rtl w:val="0"/>
        </w:rPr>
      </w:r>
    </w:p>
    <w:p w:rsidR="00000000" w:rsidDel="00000000" w:rsidP="00000000" w:rsidRDefault="00000000" w:rsidRPr="00000000" w14:paraId="00000030">
      <w:pPr>
        <w:jc w:val="both"/>
        <w:rPr>
          <w:sz w:val="20"/>
          <w:szCs w:val="20"/>
          <w:vertAlign w:val="baseline"/>
        </w:rPr>
      </w:pPr>
      <w:r w:rsidDel="00000000" w:rsidR="00000000" w:rsidRPr="00000000">
        <w:rPr>
          <w:sz w:val="20"/>
          <w:szCs w:val="20"/>
          <w:vertAlign w:val="baseline"/>
          <w:rtl w:val="0"/>
        </w:rPr>
        <w:t xml:space="preserve">The AHS Guidance Department is dedicated to improvement and the use of data to drive future interventions and implementation of the guidance program.  The Guidance Department prioritizes the following areas that need improvement, according to the data.  Their efforts are also aligned to the school improvement plan.</w:t>
      </w:r>
    </w:p>
    <w:p w:rsidR="00000000" w:rsidDel="00000000" w:rsidP="00000000" w:rsidRDefault="00000000" w:rsidRPr="00000000" w14:paraId="00000031">
      <w:pPr>
        <w:jc w:val="both"/>
        <w:rPr>
          <w:sz w:val="16"/>
          <w:szCs w:val="16"/>
          <w:vertAlign w:val="baseline"/>
        </w:rPr>
      </w:pPr>
      <w:r w:rsidDel="00000000" w:rsidR="00000000" w:rsidRPr="00000000">
        <w:rPr>
          <w:rtl w:val="0"/>
        </w:rPr>
      </w:r>
    </w:p>
    <w:p w:rsidR="00000000" w:rsidDel="00000000" w:rsidP="00000000" w:rsidRDefault="00000000" w:rsidRPr="00000000" w14:paraId="00000032">
      <w:pPr>
        <w:jc w:val="both"/>
        <w:rPr>
          <w:sz w:val="20"/>
          <w:szCs w:val="20"/>
          <w:vertAlign w:val="baseline"/>
        </w:rPr>
      </w:pPr>
      <w:r w:rsidDel="00000000" w:rsidR="00000000" w:rsidRPr="00000000">
        <w:rPr>
          <w:sz w:val="20"/>
          <w:szCs w:val="20"/>
          <w:vertAlign w:val="baseline"/>
          <w:rtl w:val="0"/>
        </w:rPr>
        <w:t xml:space="preserve">1. While the AHS Guidance Department is pleased with the post-test results of the guidance seminars, they would like to see an increase in overall proficiency and affirmative responses to the seminar post-test questions, specifically those that fell under 80% this past year.  Using the data, AHS will review the guidance curriculum and make necessary changes in order to see improved results next year.  </w:t>
      </w:r>
    </w:p>
    <w:p w:rsidR="00000000" w:rsidDel="00000000" w:rsidP="00000000" w:rsidRDefault="00000000" w:rsidRPr="00000000" w14:paraId="00000033">
      <w:pPr>
        <w:jc w:val="both"/>
        <w:rPr>
          <w:sz w:val="12"/>
          <w:szCs w:val="12"/>
          <w:vertAlign w:val="baseline"/>
        </w:rPr>
      </w:pPr>
      <w:r w:rsidDel="00000000" w:rsidR="00000000" w:rsidRPr="00000000">
        <w:rPr>
          <w:rtl w:val="0"/>
        </w:rPr>
      </w:r>
    </w:p>
    <w:p w:rsidR="00000000" w:rsidDel="00000000" w:rsidP="00000000" w:rsidRDefault="00000000" w:rsidRPr="00000000" w14:paraId="00000034">
      <w:pPr>
        <w:jc w:val="both"/>
        <w:rPr>
          <w:sz w:val="20"/>
          <w:szCs w:val="20"/>
          <w:vertAlign w:val="baseline"/>
        </w:rPr>
      </w:pPr>
      <w:r w:rsidDel="00000000" w:rsidR="00000000" w:rsidRPr="00000000">
        <w:rPr>
          <w:sz w:val="20"/>
          <w:szCs w:val="20"/>
          <w:vertAlign w:val="baseline"/>
          <w:rtl w:val="0"/>
        </w:rPr>
        <w:t xml:space="preserve">2.  The guidance department will increase the number of seminars from 4 to 6 over the next 2 years.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6">
      <w:pPr>
        <w:jc w:val="both"/>
        <w:rPr>
          <w:sz w:val="20"/>
          <w:szCs w:val="20"/>
          <w:vertAlign w:val="baseline"/>
        </w:rPr>
      </w:pPr>
      <w:r w:rsidDel="00000000" w:rsidR="00000000" w:rsidRPr="00000000">
        <w:rPr>
          <w:sz w:val="20"/>
          <w:szCs w:val="20"/>
          <w:vertAlign w:val="baseline"/>
          <w:rtl w:val="0"/>
        </w:rPr>
        <w:t xml:space="preserve">3. Additionally, though SAT and ACT scores have been on the rise since 2006, AHS has determined that there is a discrepancy between the percent increase among Reading, Writing and Math SAT scores. The English department is actively consulting with our regional representative from the College Board to review SAT data in order to develop solutions to address this discrepancy.</w:t>
      </w:r>
    </w:p>
    <w:p w:rsidR="00000000" w:rsidDel="00000000" w:rsidP="00000000" w:rsidRDefault="00000000" w:rsidRPr="00000000" w14:paraId="00000037">
      <w:pPr>
        <w:jc w:val="both"/>
        <w:rPr>
          <w:sz w:val="16"/>
          <w:szCs w:val="16"/>
          <w:vertAlign w:val="baseline"/>
        </w:rPr>
      </w:pPr>
      <w:r w:rsidDel="00000000" w:rsidR="00000000" w:rsidRPr="00000000">
        <w:rPr>
          <w:rtl w:val="0"/>
        </w:rPr>
      </w:r>
    </w:p>
    <w:p w:rsidR="00000000" w:rsidDel="00000000" w:rsidP="00000000" w:rsidRDefault="00000000" w:rsidRPr="00000000" w14:paraId="00000038">
      <w:pPr>
        <w:pStyle w:val="Heading4"/>
        <w:shd w:fill="00ccff" w:val="clear"/>
        <w:jc w:val="center"/>
        <w:rPr>
          <w:rFonts w:ascii="Times New Roman" w:cs="Times New Roman" w:eastAsia="Times New Roman" w:hAnsi="Times New Roman"/>
          <w:b w:val="0"/>
          <w:color w:val="ffffff"/>
          <w:vertAlign w:val="baseline"/>
        </w:rPr>
      </w:pPr>
      <w:r w:rsidDel="00000000" w:rsidR="00000000" w:rsidRPr="00000000">
        <w:rPr>
          <w:rFonts w:ascii="Times New Roman" w:cs="Times New Roman" w:eastAsia="Times New Roman" w:hAnsi="Times New Roman"/>
          <w:b w:val="1"/>
          <w:color w:val="ffffff"/>
          <w:shd w:fill="00ccff" w:val="clear"/>
          <w:vertAlign w:val="baseline"/>
          <w:rtl w:val="0"/>
        </w:rPr>
        <w:t xml:space="preserve">Student Support Personnel Team</w:t>
      </w:r>
      <w:r w:rsidDel="00000000" w:rsidR="00000000" w:rsidRPr="00000000">
        <w:rPr>
          <w:rtl w:val="0"/>
        </w:rPr>
      </w:r>
    </w:p>
    <w:p w:rsidR="00000000" w:rsidDel="00000000" w:rsidP="00000000" w:rsidRDefault="00000000" w:rsidRPr="00000000" w14:paraId="00000039">
      <w:pPr>
        <w:jc w:val="both"/>
        <w:rPr>
          <w:sz w:val="16"/>
          <w:szCs w:val="16"/>
          <w:vertAlign w:val="baseline"/>
        </w:rPr>
      </w:pPr>
      <w:r w:rsidDel="00000000" w:rsidR="00000000" w:rsidRPr="00000000">
        <w:rPr>
          <w:rtl w:val="0"/>
        </w:rPr>
      </w:r>
    </w:p>
    <w:p w:rsidR="00000000" w:rsidDel="00000000" w:rsidP="00000000" w:rsidRDefault="00000000" w:rsidRPr="00000000" w14:paraId="0000003A">
      <w:pPr>
        <w:jc w:val="both"/>
        <w:rPr>
          <w:b w:val="0"/>
          <w:vertAlign w:val="baseline"/>
        </w:rPr>
      </w:pPr>
      <w:r w:rsidDel="00000000" w:rsidR="00000000" w:rsidRPr="00000000">
        <w:rPr>
          <w:b w:val="1"/>
          <w:vertAlign w:val="baseline"/>
          <w:rtl w:val="0"/>
        </w:rPr>
        <w:t xml:space="preserve">AHS Guidance Mission Statement:</w:t>
      </w:r>
      <w:r w:rsidDel="00000000" w:rsidR="00000000" w:rsidRPr="00000000">
        <w:rPr>
          <w:rtl w:val="0"/>
        </w:rPr>
      </w:r>
    </w:p>
    <w:p w:rsidR="00000000" w:rsidDel="00000000" w:rsidP="00000000" w:rsidRDefault="00000000" w:rsidRPr="00000000" w14:paraId="0000003B">
      <w:pPr>
        <w:jc w:val="both"/>
        <w:rPr>
          <w:sz w:val="20"/>
          <w:szCs w:val="20"/>
          <w:vertAlign w:val="baseline"/>
        </w:rPr>
      </w:pPr>
      <w:r w:rsidDel="00000000" w:rsidR="00000000" w:rsidRPr="00000000">
        <w:rPr>
          <w:sz w:val="20"/>
          <w:szCs w:val="20"/>
          <w:vertAlign w:val="baseline"/>
          <w:rtl w:val="0"/>
        </w:rPr>
        <w:t xml:space="preserve">The guidance staff at AHS helps students and their families navigate academic, personal and social development during the high school years.  Our goal is to build partnerships that allow students to identify their strengths and weaknesses, explore interests, make appropriate course selections, and develop post-secondary plans. The guidance department is committed to providing a comprehensive and developmental counseling and guidance program, aligned with the MA Model, which includes the following components: group and individual planning, proactive and responsive services, and system support.  Guidance services, in both individual and group settings, are available for every student in the school.</w:t>
      </w:r>
    </w:p>
    <w:p w:rsidR="00000000" w:rsidDel="00000000" w:rsidP="00000000" w:rsidRDefault="00000000" w:rsidRPr="00000000" w14:paraId="0000003C">
      <w:pPr>
        <w:jc w:val="both"/>
        <w:rPr>
          <w:b w:val="0"/>
          <w:sz w:val="16"/>
          <w:szCs w:val="16"/>
          <w:vertAlign w:val="baseline"/>
        </w:rPr>
      </w:pPr>
      <w:r w:rsidDel="00000000" w:rsidR="00000000" w:rsidRPr="00000000">
        <w:rPr>
          <w:rtl w:val="0"/>
        </w:rPr>
      </w:r>
    </w:p>
    <w:p w:rsidR="00000000" w:rsidDel="00000000" w:rsidP="00000000" w:rsidRDefault="00000000" w:rsidRPr="00000000" w14:paraId="0000003D">
      <w:pPr>
        <w:jc w:val="both"/>
        <w:rPr>
          <w:b w:val="0"/>
          <w:color w:val="ff0000"/>
          <w:vertAlign w:val="baseline"/>
        </w:rPr>
      </w:pPr>
      <w:r w:rsidDel="00000000" w:rsidR="00000000" w:rsidRPr="00000000">
        <w:rPr>
          <w:b w:val="1"/>
          <w:vertAlign w:val="baseline"/>
          <w:rtl w:val="0"/>
        </w:rPr>
        <w:t xml:space="preserve">AHS Student Support Personnel Team </w:t>
      </w:r>
      <w:r w:rsidDel="00000000" w:rsidR="00000000" w:rsidRPr="00000000">
        <w:rPr>
          <w:rtl w:val="0"/>
        </w:rPr>
      </w:r>
    </w:p>
    <w:tbl>
      <w:tblPr>
        <w:tblStyle w:val="Table2"/>
        <w:tblW w:w="523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6"/>
        <w:gridCol w:w="1610"/>
        <w:gridCol w:w="1147"/>
        <w:gridCol w:w="1147"/>
        <w:tblGridChange w:id="0">
          <w:tblGrid>
            <w:gridCol w:w="1326"/>
            <w:gridCol w:w="1610"/>
            <w:gridCol w:w="1147"/>
            <w:gridCol w:w="1147"/>
          </w:tblGrid>
        </w:tblGridChange>
      </w:tblGrid>
      <w:tr>
        <w:trPr>
          <w:trHeight w:val="343" w:hRule="atLeast"/>
        </w:trPr>
        <w:tc>
          <w:tcPr>
            <w:vAlign w:val="top"/>
          </w:tcPr>
          <w:p w:rsidR="00000000" w:rsidDel="00000000" w:rsidP="00000000" w:rsidRDefault="00000000" w:rsidRPr="00000000" w14:paraId="0000003E">
            <w:pPr>
              <w:jc w:val="both"/>
              <w:rPr>
                <w:b w:val="0"/>
                <w:sz w:val="22"/>
                <w:szCs w:val="22"/>
                <w:vertAlign w:val="baseline"/>
              </w:rPr>
            </w:pPr>
            <w:r w:rsidDel="00000000" w:rsidR="00000000" w:rsidRPr="00000000">
              <w:rPr>
                <w:b w:val="1"/>
                <w:sz w:val="22"/>
                <w:szCs w:val="22"/>
                <w:vertAlign w:val="baseline"/>
                <w:rtl w:val="0"/>
              </w:rPr>
              <w:t xml:space="preserve">NAME </w:t>
            </w:r>
            <w:r w:rsidDel="00000000" w:rsidR="00000000" w:rsidRPr="00000000">
              <w:rPr>
                <w:rtl w:val="0"/>
              </w:rPr>
            </w:r>
          </w:p>
        </w:tc>
        <w:tc>
          <w:tcPr>
            <w:vAlign w:val="top"/>
          </w:tcPr>
          <w:p w:rsidR="00000000" w:rsidDel="00000000" w:rsidP="00000000" w:rsidRDefault="00000000" w:rsidRPr="00000000" w14:paraId="0000003F">
            <w:pPr>
              <w:jc w:val="both"/>
              <w:rPr>
                <w:b w:val="0"/>
                <w:sz w:val="22"/>
                <w:szCs w:val="22"/>
                <w:vertAlign w:val="baseline"/>
              </w:rPr>
            </w:pPr>
            <w:r w:rsidDel="00000000" w:rsidR="00000000" w:rsidRPr="00000000">
              <w:rPr>
                <w:b w:val="1"/>
                <w:sz w:val="22"/>
                <w:szCs w:val="22"/>
                <w:vertAlign w:val="baseline"/>
                <w:rtl w:val="0"/>
              </w:rPr>
              <w:t xml:space="preserve">POSITION</w:t>
            </w:r>
            <w:r w:rsidDel="00000000" w:rsidR="00000000" w:rsidRPr="00000000">
              <w:rPr>
                <w:rtl w:val="0"/>
              </w:rPr>
            </w:r>
          </w:p>
        </w:tc>
        <w:tc>
          <w:tcPr>
            <w:vAlign w:val="top"/>
          </w:tcPr>
          <w:p w:rsidR="00000000" w:rsidDel="00000000" w:rsidP="00000000" w:rsidRDefault="00000000" w:rsidRPr="00000000" w14:paraId="00000040">
            <w:pPr>
              <w:jc w:val="both"/>
              <w:rPr>
                <w:b w:val="0"/>
                <w:sz w:val="20"/>
                <w:szCs w:val="20"/>
                <w:vertAlign w:val="baseline"/>
              </w:rPr>
            </w:pPr>
            <w:r w:rsidDel="00000000" w:rsidR="00000000" w:rsidRPr="00000000">
              <w:rPr>
                <w:b w:val="1"/>
                <w:sz w:val="20"/>
                <w:szCs w:val="20"/>
                <w:vertAlign w:val="baseline"/>
                <w:rtl w:val="0"/>
              </w:rPr>
              <w:t xml:space="preserve">Education</w:t>
            </w:r>
            <w:r w:rsidDel="00000000" w:rsidR="00000000" w:rsidRPr="00000000">
              <w:rPr>
                <w:rtl w:val="0"/>
              </w:rPr>
            </w:r>
          </w:p>
        </w:tc>
        <w:tc>
          <w:tcPr>
            <w:vAlign w:val="top"/>
          </w:tcPr>
          <w:p w:rsidR="00000000" w:rsidDel="00000000" w:rsidP="00000000" w:rsidRDefault="00000000" w:rsidRPr="00000000" w14:paraId="00000041">
            <w:pPr>
              <w:jc w:val="both"/>
              <w:rPr>
                <w:b w:val="0"/>
                <w:sz w:val="18"/>
                <w:szCs w:val="18"/>
                <w:vertAlign w:val="baseline"/>
              </w:rPr>
            </w:pPr>
            <w:r w:rsidDel="00000000" w:rsidR="00000000" w:rsidRPr="00000000">
              <w:rPr>
                <w:b w:val="1"/>
                <w:sz w:val="18"/>
                <w:szCs w:val="18"/>
                <w:vertAlign w:val="baseline"/>
                <w:rtl w:val="0"/>
              </w:rPr>
              <w:t xml:space="preserve">Years Experience</w:t>
            </w:r>
            <w:r w:rsidDel="00000000" w:rsidR="00000000" w:rsidRPr="00000000">
              <w:rPr>
                <w:rtl w:val="0"/>
              </w:rPr>
            </w:r>
          </w:p>
        </w:tc>
      </w:tr>
      <w:tr>
        <w:trPr>
          <w:trHeight w:val="238" w:hRule="atLeast"/>
        </w:trPr>
        <w:tc>
          <w:tcPr>
            <w:vAlign w:val="top"/>
          </w:tcPr>
          <w:p w:rsidR="00000000" w:rsidDel="00000000" w:rsidP="00000000" w:rsidRDefault="00000000" w:rsidRPr="00000000" w14:paraId="00000042">
            <w:pPr>
              <w:jc w:val="both"/>
              <w:rPr>
                <w:sz w:val="20"/>
                <w:szCs w:val="20"/>
                <w:vertAlign w:val="baseline"/>
              </w:rPr>
            </w:pPr>
            <w:r w:rsidDel="00000000" w:rsidR="00000000" w:rsidRPr="00000000">
              <w:rPr>
                <w:sz w:val="20"/>
                <w:szCs w:val="20"/>
                <w:vertAlign w:val="baseline"/>
                <w:rtl w:val="0"/>
              </w:rPr>
              <w:t xml:space="preserve">Brian Garrigan</w:t>
            </w:r>
          </w:p>
        </w:tc>
        <w:tc>
          <w:tcPr>
            <w:vAlign w:val="top"/>
          </w:tcPr>
          <w:p w:rsidR="00000000" w:rsidDel="00000000" w:rsidP="00000000" w:rsidRDefault="00000000" w:rsidRPr="00000000" w14:paraId="00000043">
            <w:pPr>
              <w:jc w:val="both"/>
              <w:rPr>
                <w:sz w:val="20"/>
                <w:szCs w:val="20"/>
                <w:vertAlign w:val="baseline"/>
              </w:rPr>
            </w:pPr>
            <w:r w:rsidDel="00000000" w:rsidR="00000000" w:rsidRPr="00000000">
              <w:rPr>
                <w:sz w:val="20"/>
                <w:szCs w:val="20"/>
                <w:vertAlign w:val="baseline"/>
                <w:rtl w:val="0"/>
              </w:rPr>
              <w:t xml:space="preserve">Guidance  Liaison</w:t>
            </w:r>
          </w:p>
        </w:tc>
        <w:tc>
          <w:tcPr>
            <w:vAlign w:val="top"/>
          </w:tcPr>
          <w:p w:rsidR="00000000" w:rsidDel="00000000" w:rsidP="00000000" w:rsidRDefault="00000000" w:rsidRPr="00000000" w14:paraId="00000044">
            <w:pPr>
              <w:jc w:val="both"/>
              <w:rPr>
                <w:sz w:val="20"/>
                <w:szCs w:val="20"/>
                <w:vertAlign w:val="baseline"/>
              </w:rPr>
            </w:pPr>
            <w:r w:rsidDel="00000000" w:rsidR="00000000" w:rsidRPr="00000000">
              <w:rPr>
                <w:sz w:val="20"/>
                <w:szCs w:val="20"/>
                <w:vertAlign w:val="baseline"/>
                <w:rtl w:val="0"/>
              </w:rPr>
              <w:t xml:space="preserve">M.Ed</w:t>
            </w:r>
          </w:p>
        </w:tc>
        <w:tc>
          <w:tcPr>
            <w:vAlign w:val="top"/>
          </w:tcPr>
          <w:p w:rsidR="00000000" w:rsidDel="00000000" w:rsidP="00000000" w:rsidRDefault="00000000" w:rsidRPr="00000000" w14:paraId="00000045">
            <w:pPr>
              <w:jc w:val="both"/>
              <w:rPr>
                <w:sz w:val="20"/>
                <w:szCs w:val="20"/>
                <w:vertAlign w:val="baseline"/>
              </w:rPr>
            </w:pPr>
            <w:r w:rsidDel="00000000" w:rsidR="00000000" w:rsidRPr="00000000">
              <w:rPr>
                <w:sz w:val="20"/>
                <w:szCs w:val="20"/>
                <w:vertAlign w:val="baseline"/>
                <w:rtl w:val="0"/>
              </w:rPr>
              <w:t xml:space="preserve">30</w:t>
            </w:r>
          </w:p>
        </w:tc>
      </w:tr>
      <w:tr>
        <w:trPr>
          <w:trHeight w:val="222" w:hRule="atLeast"/>
        </w:trPr>
        <w:tc>
          <w:tcPr>
            <w:vAlign w:val="top"/>
          </w:tcPr>
          <w:p w:rsidR="00000000" w:rsidDel="00000000" w:rsidP="00000000" w:rsidRDefault="00000000" w:rsidRPr="00000000" w14:paraId="00000046">
            <w:pPr>
              <w:jc w:val="both"/>
              <w:rPr>
                <w:sz w:val="20"/>
                <w:szCs w:val="20"/>
                <w:vertAlign w:val="baseline"/>
              </w:rPr>
            </w:pPr>
            <w:r w:rsidDel="00000000" w:rsidR="00000000" w:rsidRPr="00000000">
              <w:rPr>
                <w:sz w:val="20"/>
                <w:szCs w:val="20"/>
                <w:vertAlign w:val="baseline"/>
                <w:rtl w:val="0"/>
              </w:rPr>
              <w:t xml:space="preserve">Jennifer McMahon</w:t>
            </w:r>
          </w:p>
        </w:tc>
        <w:tc>
          <w:tcPr>
            <w:vAlign w:val="top"/>
          </w:tcPr>
          <w:p w:rsidR="00000000" w:rsidDel="00000000" w:rsidP="00000000" w:rsidRDefault="00000000" w:rsidRPr="00000000" w14:paraId="00000047">
            <w:pPr>
              <w:jc w:val="both"/>
              <w:rPr>
                <w:sz w:val="20"/>
                <w:szCs w:val="20"/>
                <w:vertAlign w:val="baseline"/>
              </w:rPr>
            </w:pPr>
            <w:r w:rsidDel="00000000" w:rsidR="00000000" w:rsidRPr="00000000">
              <w:rPr>
                <w:sz w:val="20"/>
                <w:szCs w:val="20"/>
                <w:vertAlign w:val="baseline"/>
                <w:rtl w:val="0"/>
              </w:rPr>
              <w:t xml:space="preserve">School Counselor</w:t>
            </w:r>
          </w:p>
        </w:tc>
        <w:tc>
          <w:tcPr>
            <w:vAlign w:val="top"/>
          </w:tcPr>
          <w:p w:rsidR="00000000" w:rsidDel="00000000" w:rsidP="00000000" w:rsidRDefault="00000000" w:rsidRPr="00000000" w14:paraId="00000048">
            <w:pPr>
              <w:jc w:val="both"/>
              <w:rPr>
                <w:sz w:val="20"/>
                <w:szCs w:val="20"/>
                <w:vertAlign w:val="baseline"/>
              </w:rPr>
            </w:pPr>
            <w:r w:rsidDel="00000000" w:rsidR="00000000" w:rsidRPr="00000000">
              <w:rPr>
                <w:sz w:val="20"/>
                <w:szCs w:val="20"/>
                <w:vertAlign w:val="baseline"/>
                <w:rtl w:val="0"/>
              </w:rPr>
              <w:t xml:space="preserve">M.Ed</w:t>
            </w:r>
          </w:p>
        </w:tc>
        <w:tc>
          <w:tcPr>
            <w:vAlign w:val="top"/>
          </w:tcPr>
          <w:p w:rsidR="00000000" w:rsidDel="00000000" w:rsidP="00000000" w:rsidRDefault="00000000" w:rsidRPr="00000000" w14:paraId="00000049">
            <w:pPr>
              <w:jc w:val="both"/>
              <w:rPr>
                <w:sz w:val="20"/>
                <w:szCs w:val="20"/>
                <w:vertAlign w:val="baseline"/>
              </w:rPr>
            </w:pPr>
            <w:r w:rsidDel="00000000" w:rsidR="00000000" w:rsidRPr="00000000">
              <w:rPr>
                <w:sz w:val="20"/>
                <w:szCs w:val="20"/>
                <w:vertAlign w:val="baseline"/>
                <w:rtl w:val="0"/>
              </w:rPr>
              <w:t xml:space="preserve">9</w:t>
            </w:r>
          </w:p>
        </w:tc>
      </w:tr>
      <w:tr>
        <w:trPr>
          <w:trHeight w:val="241" w:hRule="atLeast"/>
        </w:trPr>
        <w:tc>
          <w:tcPr>
            <w:vAlign w:val="top"/>
          </w:tcPr>
          <w:p w:rsidR="00000000" w:rsidDel="00000000" w:rsidP="00000000" w:rsidRDefault="00000000" w:rsidRPr="00000000" w14:paraId="0000004A">
            <w:pPr>
              <w:jc w:val="both"/>
              <w:rPr>
                <w:sz w:val="20"/>
                <w:szCs w:val="20"/>
                <w:vertAlign w:val="baseline"/>
              </w:rPr>
            </w:pPr>
            <w:r w:rsidDel="00000000" w:rsidR="00000000" w:rsidRPr="00000000">
              <w:rPr>
                <w:sz w:val="20"/>
                <w:szCs w:val="20"/>
                <w:vertAlign w:val="baseline"/>
                <w:rtl w:val="0"/>
              </w:rPr>
              <w:t xml:space="preserve">Beverly Chase</w:t>
            </w:r>
          </w:p>
        </w:tc>
        <w:tc>
          <w:tcPr>
            <w:vAlign w:val="top"/>
          </w:tcPr>
          <w:p w:rsidR="00000000" w:rsidDel="00000000" w:rsidP="00000000" w:rsidRDefault="00000000" w:rsidRPr="00000000" w14:paraId="0000004B">
            <w:pPr>
              <w:jc w:val="both"/>
              <w:rPr>
                <w:sz w:val="20"/>
                <w:szCs w:val="20"/>
                <w:vertAlign w:val="baseline"/>
              </w:rPr>
            </w:pPr>
            <w:r w:rsidDel="00000000" w:rsidR="00000000" w:rsidRPr="00000000">
              <w:rPr>
                <w:sz w:val="20"/>
                <w:szCs w:val="20"/>
                <w:vertAlign w:val="baseline"/>
                <w:rtl w:val="0"/>
              </w:rPr>
              <w:t xml:space="preserve">School Counselor</w:t>
            </w:r>
          </w:p>
        </w:tc>
        <w:tc>
          <w:tcPr>
            <w:vAlign w:val="top"/>
          </w:tcPr>
          <w:p w:rsidR="00000000" w:rsidDel="00000000" w:rsidP="00000000" w:rsidRDefault="00000000" w:rsidRPr="00000000" w14:paraId="0000004C">
            <w:pPr>
              <w:jc w:val="both"/>
              <w:rPr>
                <w:sz w:val="20"/>
                <w:szCs w:val="20"/>
                <w:vertAlign w:val="baseline"/>
              </w:rPr>
            </w:pPr>
            <w:r w:rsidDel="00000000" w:rsidR="00000000" w:rsidRPr="00000000">
              <w:rPr>
                <w:sz w:val="20"/>
                <w:szCs w:val="20"/>
                <w:vertAlign w:val="baseline"/>
                <w:rtl w:val="0"/>
              </w:rPr>
              <w:t xml:space="preserve">M.Ed</w:t>
            </w:r>
          </w:p>
        </w:tc>
        <w:tc>
          <w:tcPr>
            <w:vAlign w:val="top"/>
          </w:tcPr>
          <w:p w:rsidR="00000000" w:rsidDel="00000000" w:rsidP="00000000" w:rsidRDefault="00000000" w:rsidRPr="00000000" w14:paraId="0000004D">
            <w:pPr>
              <w:jc w:val="both"/>
              <w:rPr>
                <w:sz w:val="20"/>
                <w:szCs w:val="20"/>
                <w:vertAlign w:val="baseline"/>
              </w:rPr>
            </w:pPr>
            <w:r w:rsidDel="00000000" w:rsidR="00000000" w:rsidRPr="00000000">
              <w:rPr>
                <w:sz w:val="20"/>
                <w:szCs w:val="20"/>
                <w:vertAlign w:val="baseline"/>
                <w:rtl w:val="0"/>
              </w:rPr>
              <w:t xml:space="preserve">15</w:t>
            </w:r>
          </w:p>
        </w:tc>
      </w:tr>
      <w:tr>
        <w:trPr>
          <w:trHeight w:val="238" w:hRule="atLeast"/>
        </w:trPr>
        <w:tc>
          <w:tcPr>
            <w:vAlign w:val="top"/>
          </w:tcPr>
          <w:p w:rsidR="00000000" w:rsidDel="00000000" w:rsidP="00000000" w:rsidRDefault="00000000" w:rsidRPr="00000000" w14:paraId="0000004E">
            <w:pPr>
              <w:jc w:val="both"/>
              <w:rPr>
                <w:sz w:val="20"/>
                <w:szCs w:val="20"/>
                <w:vertAlign w:val="baseline"/>
              </w:rPr>
            </w:pPr>
            <w:r w:rsidDel="00000000" w:rsidR="00000000" w:rsidRPr="00000000">
              <w:rPr>
                <w:sz w:val="20"/>
                <w:szCs w:val="20"/>
                <w:vertAlign w:val="baseline"/>
                <w:rtl w:val="0"/>
              </w:rPr>
              <w:t xml:space="preserve">Cory McGann</w:t>
            </w:r>
          </w:p>
        </w:tc>
        <w:tc>
          <w:tcPr>
            <w:vAlign w:val="top"/>
          </w:tcPr>
          <w:p w:rsidR="00000000" w:rsidDel="00000000" w:rsidP="00000000" w:rsidRDefault="00000000" w:rsidRPr="00000000" w14:paraId="0000004F">
            <w:pPr>
              <w:jc w:val="both"/>
              <w:rPr>
                <w:sz w:val="20"/>
                <w:szCs w:val="20"/>
                <w:vertAlign w:val="baseline"/>
              </w:rPr>
            </w:pPr>
            <w:r w:rsidDel="00000000" w:rsidR="00000000" w:rsidRPr="00000000">
              <w:rPr>
                <w:sz w:val="20"/>
                <w:szCs w:val="20"/>
                <w:vertAlign w:val="baseline"/>
                <w:rtl w:val="0"/>
              </w:rPr>
              <w:t xml:space="preserve">School Counselor</w:t>
            </w:r>
          </w:p>
        </w:tc>
        <w:tc>
          <w:tcPr>
            <w:vAlign w:val="top"/>
          </w:tcPr>
          <w:p w:rsidR="00000000" w:rsidDel="00000000" w:rsidP="00000000" w:rsidRDefault="00000000" w:rsidRPr="00000000" w14:paraId="00000050">
            <w:pPr>
              <w:jc w:val="both"/>
              <w:rPr>
                <w:sz w:val="20"/>
                <w:szCs w:val="20"/>
                <w:vertAlign w:val="baseline"/>
              </w:rPr>
            </w:pPr>
            <w:r w:rsidDel="00000000" w:rsidR="00000000" w:rsidRPr="00000000">
              <w:rPr>
                <w:sz w:val="20"/>
                <w:szCs w:val="20"/>
                <w:vertAlign w:val="baseline"/>
                <w:rtl w:val="0"/>
              </w:rPr>
              <w:t xml:space="preserve">MA</w:t>
            </w:r>
          </w:p>
        </w:tc>
        <w:tc>
          <w:tcPr>
            <w:vAlign w:val="top"/>
          </w:tcPr>
          <w:p w:rsidR="00000000" w:rsidDel="00000000" w:rsidP="00000000" w:rsidRDefault="00000000" w:rsidRPr="00000000" w14:paraId="00000051">
            <w:pPr>
              <w:jc w:val="both"/>
              <w:rPr>
                <w:sz w:val="20"/>
                <w:szCs w:val="20"/>
                <w:vertAlign w:val="baseline"/>
              </w:rPr>
            </w:pPr>
            <w:r w:rsidDel="00000000" w:rsidR="00000000" w:rsidRPr="00000000">
              <w:rPr>
                <w:sz w:val="20"/>
                <w:szCs w:val="20"/>
                <w:vertAlign w:val="baseline"/>
                <w:rtl w:val="0"/>
              </w:rPr>
              <w:t xml:space="preserve">4</w:t>
            </w:r>
          </w:p>
        </w:tc>
      </w:tr>
      <w:tr>
        <w:trPr>
          <w:trHeight w:val="268" w:hRule="atLeast"/>
        </w:trPr>
        <w:tc>
          <w:tcPr>
            <w:vAlign w:val="top"/>
          </w:tcPr>
          <w:p w:rsidR="00000000" w:rsidDel="00000000" w:rsidP="00000000" w:rsidRDefault="00000000" w:rsidRPr="00000000" w14:paraId="00000052">
            <w:pPr>
              <w:jc w:val="both"/>
              <w:rPr>
                <w:sz w:val="20"/>
                <w:szCs w:val="20"/>
                <w:vertAlign w:val="baseline"/>
              </w:rPr>
            </w:pPr>
            <w:r w:rsidDel="00000000" w:rsidR="00000000" w:rsidRPr="00000000">
              <w:rPr>
                <w:sz w:val="20"/>
                <w:szCs w:val="20"/>
                <w:vertAlign w:val="baseline"/>
                <w:rtl w:val="0"/>
              </w:rPr>
              <w:t xml:space="preserve">Jennifer Shiels</w:t>
            </w:r>
          </w:p>
        </w:tc>
        <w:tc>
          <w:tcPr>
            <w:vAlign w:val="top"/>
          </w:tcPr>
          <w:p w:rsidR="00000000" w:rsidDel="00000000" w:rsidP="00000000" w:rsidRDefault="00000000" w:rsidRPr="00000000" w14:paraId="00000053">
            <w:pPr>
              <w:jc w:val="both"/>
              <w:rPr>
                <w:sz w:val="20"/>
                <w:szCs w:val="20"/>
                <w:vertAlign w:val="baseline"/>
              </w:rPr>
            </w:pPr>
            <w:r w:rsidDel="00000000" w:rsidR="00000000" w:rsidRPr="00000000">
              <w:rPr>
                <w:sz w:val="20"/>
                <w:szCs w:val="20"/>
                <w:vertAlign w:val="baseline"/>
                <w:rtl w:val="0"/>
              </w:rPr>
              <w:t xml:space="preserve">Adjustment Counselor</w:t>
            </w:r>
          </w:p>
        </w:tc>
        <w:tc>
          <w:tcPr>
            <w:vAlign w:val="top"/>
          </w:tcPr>
          <w:p w:rsidR="00000000" w:rsidDel="00000000" w:rsidP="00000000" w:rsidRDefault="00000000" w:rsidRPr="00000000" w14:paraId="00000054">
            <w:pPr>
              <w:jc w:val="both"/>
              <w:rPr>
                <w:sz w:val="20"/>
                <w:szCs w:val="20"/>
                <w:vertAlign w:val="baseline"/>
              </w:rPr>
            </w:pPr>
            <w:r w:rsidDel="00000000" w:rsidR="00000000" w:rsidRPr="00000000">
              <w:rPr>
                <w:sz w:val="20"/>
                <w:szCs w:val="20"/>
                <w:vertAlign w:val="baseline"/>
                <w:rtl w:val="0"/>
              </w:rPr>
              <w:t xml:space="preserve">MSW</w:t>
            </w:r>
          </w:p>
        </w:tc>
        <w:tc>
          <w:tcPr>
            <w:vAlign w:val="top"/>
          </w:tcPr>
          <w:p w:rsidR="00000000" w:rsidDel="00000000" w:rsidP="00000000" w:rsidRDefault="00000000" w:rsidRPr="00000000" w14:paraId="00000055">
            <w:pPr>
              <w:jc w:val="both"/>
              <w:rPr>
                <w:sz w:val="20"/>
                <w:szCs w:val="20"/>
                <w:vertAlign w:val="baseline"/>
              </w:rPr>
            </w:pPr>
            <w:r w:rsidDel="00000000" w:rsidR="00000000" w:rsidRPr="00000000">
              <w:rPr>
                <w:sz w:val="20"/>
                <w:szCs w:val="20"/>
                <w:vertAlign w:val="baseline"/>
                <w:rtl w:val="0"/>
              </w:rPr>
              <w:t xml:space="preserve">10</w:t>
            </w:r>
          </w:p>
        </w:tc>
      </w:tr>
      <w:tr>
        <w:trPr>
          <w:trHeight w:val="26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jc w:val="both"/>
              <w:rPr>
                <w:sz w:val="20"/>
                <w:szCs w:val="20"/>
                <w:vertAlign w:val="baseline"/>
              </w:rPr>
            </w:pPr>
            <w:r w:rsidDel="00000000" w:rsidR="00000000" w:rsidRPr="00000000">
              <w:rPr>
                <w:sz w:val="20"/>
                <w:szCs w:val="20"/>
                <w:vertAlign w:val="baseline"/>
                <w:rtl w:val="0"/>
              </w:rPr>
              <w:t xml:space="preserve">Laura Guarino</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jc w:val="both"/>
              <w:rPr>
                <w:sz w:val="20"/>
                <w:szCs w:val="20"/>
                <w:vertAlign w:val="baseline"/>
              </w:rPr>
            </w:pPr>
            <w:r w:rsidDel="00000000" w:rsidR="00000000" w:rsidRPr="00000000">
              <w:rPr>
                <w:sz w:val="20"/>
                <w:szCs w:val="20"/>
                <w:vertAlign w:val="baseline"/>
                <w:rtl w:val="0"/>
              </w:rPr>
              <w:t xml:space="preserve">School Counselor Intern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jc w:val="both"/>
              <w:rPr>
                <w:sz w:val="20"/>
                <w:szCs w:val="20"/>
                <w:vertAlign w:val="baseline"/>
              </w:rPr>
            </w:pPr>
            <w:r w:rsidDel="00000000" w:rsidR="00000000" w:rsidRPr="00000000">
              <w:rPr>
                <w:sz w:val="20"/>
                <w:szCs w:val="20"/>
                <w:vertAlign w:val="baseline"/>
                <w:rtl w:val="0"/>
              </w:rPr>
              <w:t xml:space="preserve">BA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jc w:val="both"/>
              <w:rPr>
                <w:sz w:val="20"/>
                <w:szCs w:val="20"/>
                <w:vertAlign w:val="baseline"/>
              </w:rPr>
            </w:pPr>
            <w:r w:rsidDel="00000000" w:rsidR="00000000" w:rsidRPr="00000000">
              <w:rPr>
                <w:sz w:val="20"/>
                <w:szCs w:val="20"/>
                <w:vertAlign w:val="baseline"/>
                <w:rtl w:val="0"/>
              </w:rPr>
              <w:t xml:space="preserve">1</w:t>
            </w:r>
          </w:p>
        </w:tc>
      </w:tr>
      <w:tr>
        <w:trPr>
          <w:trHeight w:val="268"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jc w:val="both"/>
              <w:rPr>
                <w:sz w:val="20"/>
                <w:szCs w:val="20"/>
                <w:vertAlign w:val="baseline"/>
              </w:rPr>
            </w:pPr>
            <w:r w:rsidDel="00000000" w:rsidR="00000000" w:rsidRPr="00000000">
              <w:rPr>
                <w:sz w:val="20"/>
                <w:szCs w:val="20"/>
                <w:vertAlign w:val="baseline"/>
                <w:rtl w:val="0"/>
              </w:rPr>
              <w:t xml:space="preserve">Kristina Hunter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jc w:val="both"/>
              <w:rPr>
                <w:sz w:val="20"/>
                <w:szCs w:val="20"/>
                <w:vertAlign w:val="baseline"/>
              </w:rPr>
            </w:pPr>
            <w:r w:rsidDel="00000000" w:rsidR="00000000" w:rsidRPr="00000000">
              <w:rPr>
                <w:sz w:val="20"/>
                <w:szCs w:val="20"/>
                <w:vertAlign w:val="baseline"/>
                <w:rtl w:val="0"/>
              </w:rPr>
              <w:t xml:space="preserve">Guidance Secretary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jc w:val="both"/>
              <w:rPr>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jc w:val="both"/>
              <w:rPr>
                <w:sz w:val="20"/>
                <w:szCs w:val="20"/>
                <w:vertAlign w:val="baseline"/>
              </w:rPr>
            </w:pPr>
            <w:r w:rsidDel="00000000" w:rsidR="00000000" w:rsidRPr="00000000">
              <w:rPr>
                <w:sz w:val="20"/>
                <w:szCs w:val="20"/>
                <w:vertAlign w:val="baseline"/>
                <w:rtl w:val="0"/>
              </w:rPr>
              <w:t xml:space="preserve">8</w:t>
            </w:r>
          </w:p>
        </w:tc>
      </w:tr>
    </w:tbl>
    <w:p w:rsidR="00000000" w:rsidDel="00000000" w:rsidP="00000000" w:rsidRDefault="00000000" w:rsidRPr="00000000" w14:paraId="0000005E">
      <w:pPr>
        <w:jc w:val="both"/>
        <w:rPr>
          <w:vertAlign w:val="baseline"/>
        </w:rPr>
      </w:pPr>
      <w:r w:rsidDel="00000000" w:rsidR="00000000" w:rsidRPr="00000000">
        <w:rPr>
          <w:rtl w:val="0"/>
        </w:rPr>
      </w:r>
    </w:p>
    <w:sectPr>
      <w:type w:val="continuous"/>
      <w:pgSz w:h="15840" w:w="12240" w:orient="portrait"/>
      <w:pgMar w:bottom="432" w:top="360" w:left="720" w:right="720" w:header="360" w:footer="432"/>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Impact"/>
  <w:font w:name="Georgia"/>
  <w:font w:name="Arial"/>
  <w:font w:name="Times New Roman"/>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cript MT Bold"/>
  <w:font w:name="Lustria">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
              <a:graphic>
                <a:graphicData uri="http://schemas.microsoft.com/office/word/2010/wordprocessingShape">
                  <wps:wsp>
                    <wps:cNvSpPr/>
                    <wps:cNvPr id="3" name="Shape 3"/>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
              <a:graphic>
                <a:graphicData uri="http://schemas.microsoft.com/office/word/2010/wordprocessingShape">
                  <wps:wsp>
                    <wps:cNvSpPr/>
                    <wps:cNvPr id="2" name="Shape 2"/>
                    <wps:spPr>
                      <a:xfrm rot="-2700000">
                        <a:off x="1316925" y="2974185"/>
                        <a:ext cx="8058150" cy="1611630"/>
                      </a:xfrm>
                      <a:prstGeom prst="rect">
                        <a:avLst/>
                      </a:prstGeom>
                      <a:solidFill>
                        <a:srgbClr val="999999">
                          <a:alpha val="49803"/>
                        </a:srgbClr>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-2616199</wp:posOffset>
              </wp:positionV>
              <wp:extent cx="6851037" cy="6851037"/>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51037" cy="68510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sz w:val="28"/>
      <w:szCs w:val="28"/>
      <w:vertAlign w:val="baseline"/>
    </w:rPr>
  </w:style>
  <w:style w:type="paragraph" w:styleId="Heading3">
    <w:name w:val="heading 3"/>
    <w:basedOn w:val="Normal"/>
    <w:next w:val="Normal"/>
    <w:pPr>
      <w:keepNext w:val="1"/>
    </w:pPr>
    <w:rPr>
      <w:rFonts w:ascii="Lustria" w:cs="Lustria" w:eastAsia="Lustria" w:hAnsi="Lustria"/>
      <w:i w:val="1"/>
      <w:sz w:val="28"/>
      <w:szCs w:val="28"/>
      <w:vertAlign w:val="baseline"/>
    </w:rPr>
  </w:style>
  <w:style w:type="paragraph" w:styleId="Heading4">
    <w:name w:val="heading 4"/>
    <w:basedOn w:val="Normal"/>
    <w:next w:val="Normal"/>
    <w:pPr>
      <w:keepNext w:val="1"/>
      <w:pBdr>
        <w:top w:color="000000" w:space="3" w:sz="4" w:val="single"/>
        <w:left w:color="000000" w:space="4" w:sz="4" w:val="single"/>
        <w:bottom w:color="000000" w:space="3" w:sz="4" w:val="single"/>
        <w:right w:color="000000" w:space="4" w:sz="4" w:val="single"/>
      </w:pBdr>
      <w:shd w:fill="ffff00" w:val="clear"/>
    </w:pPr>
    <w:rPr>
      <w:rFonts w:ascii="Impact" w:cs="Impact" w:eastAsia="Impact" w:hAnsi="Impact"/>
      <w:color w:val="000000"/>
      <w:sz w:val="28"/>
      <w:szCs w:val="28"/>
      <w:highlight w:val="yellow"/>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7.png"/><Relationship Id="rId8" Type="http://schemas.openxmlformats.org/officeDocument/2006/relationships/hyperlink" Target="http://ahs.ashland.k12.m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Lustria-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